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E90B" w14:textId="4905610E" w:rsidR="00D07C27" w:rsidRPr="00D57B30" w:rsidRDefault="00BE3286" w:rsidP="008246F4">
      <w:pPr>
        <w:pStyle w:val="Heading1"/>
        <w:ind w:right="545"/>
        <w:rPr>
          <w:color w:val="1F4E79" w:themeColor="accent1" w:themeShade="80"/>
        </w:rPr>
      </w:pPr>
      <w:bookmarkStart w:id="0" w:name="_GoBack"/>
      <w:bookmarkEnd w:id="0"/>
      <w:r>
        <w:rPr>
          <w:color w:val="1F4E79" w:themeColor="accent1" w:themeShade="80"/>
        </w:rPr>
        <w:t>Agenda Item</w:t>
      </w:r>
      <w:r w:rsidR="004E28DA">
        <w:rPr>
          <w:color w:val="1F4E79" w:themeColor="accent1" w:themeShade="80"/>
        </w:rPr>
        <w:t xml:space="preserve"> </w:t>
      </w:r>
      <w:r w:rsidR="00036D48">
        <w:rPr>
          <w:color w:val="1F4E79" w:themeColor="accent1" w:themeShade="80"/>
        </w:rPr>
        <w:t xml:space="preserve">3: </w:t>
      </w:r>
      <w:r w:rsidR="00001658">
        <w:rPr>
          <w:color w:val="1F4E79" w:themeColor="accent1" w:themeShade="80"/>
        </w:rPr>
        <w:t>General Data Protection Regulation (</w:t>
      </w:r>
      <w:r w:rsidR="00036D48">
        <w:rPr>
          <w:color w:val="1F4E79" w:themeColor="accent1" w:themeShade="80"/>
        </w:rPr>
        <w:t>GDPR Overview</w:t>
      </w:r>
      <w:r w:rsidR="00001658">
        <w:rPr>
          <w:color w:val="1F4E79" w:themeColor="accent1" w:themeShade="80"/>
        </w:rPr>
        <w:t>)</w:t>
      </w:r>
    </w:p>
    <w:p w14:paraId="4C084511" w14:textId="12608FCB" w:rsidR="00F21D6A" w:rsidRDefault="00D57B30" w:rsidP="00E15459">
      <w:pPr>
        <w:pStyle w:val="Heading2"/>
      </w:pPr>
      <w:r>
        <w:t>Issues</w:t>
      </w:r>
    </w:p>
    <w:p w14:paraId="3640AC1E" w14:textId="6C8642D8" w:rsidR="006075B6" w:rsidRDefault="00001658" w:rsidP="00036D48">
      <w:pPr>
        <w:pStyle w:val="BodyText"/>
      </w:pPr>
      <w:r>
        <w:t xml:space="preserve">This is an initial overview session on the policy implications of ICANN compliance with GDPR. It is intended as an opportunity for the GAC to </w:t>
      </w:r>
      <w:r w:rsidR="00085123">
        <w:t>review the current situation and consider how best to pursue its objectiv</w:t>
      </w:r>
      <w:r w:rsidR="00A742DD">
        <w:t>es during</w:t>
      </w:r>
      <w:r w:rsidR="009A63F4">
        <w:t xml:space="preserve"> ICANN 62</w:t>
      </w:r>
      <w:r w:rsidR="00A742DD">
        <w:t>.</w:t>
      </w:r>
    </w:p>
    <w:p w14:paraId="29275C1B" w14:textId="22AA3778" w:rsidR="00036D48" w:rsidRDefault="00036D48" w:rsidP="00036D48">
      <w:pPr>
        <w:pStyle w:val="Heading2"/>
      </w:pPr>
      <w:r>
        <w:t>GAC Action Required</w:t>
      </w:r>
    </w:p>
    <w:p w14:paraId="0CCF16EE" w14:textId="58149D68" w:rsidR="00583EE4" w:rsidRDefault="00921B8C" w:rsidP="00036D48">
      <w:pPr>
        <w:pStyle w:val="BodyText"/>
      </w:pPr>
      <w:r>
        <w:t>The GAC should consider</w:t>
      </w:r>
      <w:r w:rsidR="00A742DD">
        <w:t xml:space="preserve"> prioritising:</w:t>
      </w:r>
    </w:p>
    <w:p w14:paraId="60F7874A" w14:textId="130DFEA6" w:rsidR="00921B8C" w:rsidRDefault="00921B8C" w:rsidP="00921B8C">
      <w:pPr>
        <w:pStyle w:val="BodyText"/>
        <w:numPr>
          <w:ilvl w:val="0"/>
          <w:numId w:val="24"/>
        </w:numPr>
      </w:pPr>
      <w:r>
        <w:t>GAC responsibilities and protocols for resolving outstanding issues in relation to GDPR and WHOIS, including:</w:t>
      </w:r>
    </w:p>
    <w:p w14:paraId="1AEED4D6" w14:textId="62C538F6" w:rsidR="00921B8C" w:rsidRDefault="00D35147" w:rsidP="00921B8C">
      <w:pPr>
        <w:pStyle w:val="BodyText"/>
        <w:numPr>
          <w:ilvl w:val="0"/>
          <w:numId w:val="25"/>
        </w:numPr>
      </w:pPr>
      <w:r>
        <w:t>Agreeing</w:t>
      </w:r>
      <w:r w:rsidR="00921B8C">
        <w:t xml:space="preserve"> that securing good public policy outcomes in this area is a matter for the </w:t>
      </w:r>
      <w:r w:rsidR="00A742DD">
        <w:t xml:space="preserve">entire </w:t>
      </w:r>
      <w:r w:rsidR="00921B8C">
        <w:t xml:space="preserve">GAC </w:t>
      </w:r>
      <w:r w:rsidR="00A742DD">
        <w:t>to consider, as supported, to the extent helpful, by</w:t>
      </w:r>
      <w:r w:rsidR="00921B8C">
        <w:t xml:space="preserve"> the GAC Public Safety Working Group</w:t>
      </w:r>
      <w:r w:rsidR="00001658">
        <w:t xml:space="preserve"> (PSWG)</w:t>
      </w:r>
      <w:r w:rsidR="00921B8C">
        <w:t xml:space="preserve">. </w:t>
      </w:r>
    </w:p>
    <w:p w14:paraId="67F596BF" w14:textId="43DE756C" w:rsidR="00921B8C" w:rsidRDefault="00921B8C" w:rsidP="00921B8C">
      <w:pPr>
        <w:pStyle w:val="BodyText"/>
        <w:numPr>
          <w:ilvl w:val="0"/>
          <w:numId w:val="25"/>
        </w:numPr>
      </w:pPr>
      <w:r>
        <w:t xml:space="preserve">Confirming the coordination group of GAC members to facilitate GAC input to </w:t>
      </w:r>
      <w:r w:rsidR="00477F27">
        <w:t xml:space="preserve">any GNSO </w:t>
      </w:r>
      <w:r>
        <w:t>Policy Development Process</w:t>
      </w:r>
      <w:r w:rsidR="00477F27">
        <w:t xml:space="preserve"> that may be initiated</w:t>
      </w:r>
      <w:r>
        <w:t>, and possibly to other relevant community processes: curre</w:t>
      </w:r>
      <w:r w:rsidR="00477F27">
        <w:t xml:space="preserve">nt volunteers are India, </w:t>
      </w:r>
      <w:r>
        <w:t>United States</w:t>
      </w:r>
      <w:r w:rsidR="00001658">
        <w:t>, the</w:t>
      </w:r>
      <w:r w:rsidR="00477F27">
        <w:t xml:space="preserve"> European Commission</w:t>
      </w:r>
      <w:r w:rsidR="00001658">
        <w:t xml:space="preserve"> and the Co-Chairs of the PSWG</w:t>
      </w:r>
      <w:r>
        <w:t>.</w:t>
      </w:r>
    </w:p>
    <w:p w14:paraId="1E0F068D" w14:textId="67F71AE4" w:rsidR="00921B8C" w:rsidRDefault="00921B8C" w:rsidP="00921B8C">
      <w:pPr>
        <w:pStyle w:val="BodyText"/>
        <w:numPr>
          <w:ilvl w:val="0"/>
          <w:numId w:val="24"/>
        </w:numPr>
      </w:pPr>
      <w:r>
        <w:t>C</w:t>
      </w:r>
      <w:r w:rsidR="0012744C">
        <w:t xml:space="preserve">onfining </w:t>
      </w:r>
      <w:r>
        <w:t xml:space="preserve">GAC advice to the Board </w:t>
      </w:r>
      <w:r w:rsidR="0012744C">
        <w:t>in this matter to those areas where Bo</w:t>
      </w:r>
      <w:r w:rsidR="00001658">
        <w:t>ard action is actually possible;</w:t>
      </w:r>
      <w:r w:rsidR="0012744C">
        <w:t xml:space="preserve"> </w:t>
      </w:r>
      <w:r w:rsidR="00A742DD">
        <w:t xml:space="preserve">and complementing any advice </w:t>
      </w:r>
      <w:r>
        <w:t>with active engageme</w:t>
      </w:r>
      <w:r w:rsidR="00477F27">
        <w:t xml:space="preserve">nt in other processes, including any GNSO PDP. </w:t>
      </w:r>
    </w:p>
    <w:p w14:paraId="305304B5" w14:textId="5ED267EB" w:rsidR="00A25553" w:rsidRDefault="00672691" w:rsidP="00A25553">
      <w:pPr>
        <w:pStyle w:val="BodyText"/>
        <w:numPr>
          <w:ilvl w:val="0"/>
          <w:numId w:val="24"/>
        </w:numPr>
      </w:pPr>
      <w:r>
        <w:t>Agreeing</w:t>
      </w:r>
      <w:r w:rsidR="0080662D">
        <w:t xml:space="preserve"> </w:t>
      </w:r>
      <w:r w:rsidR="00001658">
        <w:t xml:space="preserve">that the </w:t>
      </w:r>
      <w:r w:rsidR="0080662D">
        <w:t>substantive policy objectives</w:t>
      </w:r>
      <w:r w:rsidR="0012744C">
        <w:t xml:space="preserve"> </w:t>
      </w:r>
      <w:r w:rsidR="00001658">
        <w:t xml:space="preserve">for the GAC at this time are </w:t>
      </w:r>
      <w:r w:rsidR="0012744C">
        <w:t xml:space="preserve">the </w:t>
      </w:r>
      <w:r w:rsidR="00A25553">
        <w:t>following items of</w:t>
      </w:r>
      <w:r>
        <w:t xml:space="preserve"> </w:t>
      </w:r>
      <w:r w:rsidR="00A25553">
        <w:t xml:space="preserve">outstanding </w:t>
      </w:r>
      <w:r w:rsidR="0080662D">
        <w:t xml:space="preserve">GAC advice in the </w:t>
      </w:r>
      <w:hyperlink r:id="rId8" w:history="1">
        <w:r w:rsidR="0080662D" w:rsidRPr="00BF4CFB">
          <w:rPr>
            <w:rStyle w:val="Hyperlink"/>
          </w:rPr>
          <w:t>San Juan Communique</w:t>
        </w:r>
      </w:hyperlink>
      <w:r w:rsidR="00A25553">
        <w:t xml:space="preserve"> (Note: The Board has </w:t>
      </w:r>
      <w:hyperlink r:id="rId9" w:history="1">
        <w:r w:rsidR="0080662D" w:rsidRPr="009A63F4">
          <w:rPr>
            <w:rStyle w:val="Hyperlink"/>
          </w:rPr>
          <w:t>deferred</w:t>
        </w:r>
      </w:hyperlink>
      <w:r w:rsidR="009A63F4">
        <w:rPr>
          <w:rStyle w:val="FootnoteReference"/>
        </w:rPr>
        <w:footnoteReference w:id="1"/>
      </w:r>
      <w:r w:rsidR="00A25553">
        <w:t xml:space="preserve"> a response to these</w:t>
      </w:r>
      <w:r w:rsidR="0080662D">
        <w:t xml:space="preserve"> but incl</w:t>
      </w:r>
      <w:r w:rsidR="00A25553">
        <w:t xml:space="preserve">uded the substance of them in the </w:t>
      </w:r>
      <w:r w:rsidR="00A25553" w:rsidRPr="00A25553">
        <w:rPr>
          <w:i/>
        </w:rPr>
        <w:t>Temporary Specification Annex: Important Issues for Further Community Action</w:t>
      </w:r>
      <w:r w:rsidR="00A25553">
        <w:t>):</w:t>
      </w:r>
    </w:p>
    <w:p w14:paraId="4E78987A" w14:textId="2E3E6572" w:rsidR="0080662D" w:rsidRDefault="0080662D" w:rsidP="0080662D">
      <w:pPr>
        <w:pStyle w:val="BodyText"/>
        <w:numPr>
          <w:ilvl w:val="0"/>
          <w:numId w:val="27"/>
        </w:numPr>
      </w:pPr>
      <w:r>
        <w:t>Distinguish</w:t>
      </w:r>
      <w:r w:rsidR="00A25553">
        <w:t>ing</w:t>
      </w:r>
      <w:r>
        <w:t xml:space="preserve"> between legal and natural persons, allowing for public access to WHOIS data of legal entities which are not in the remit of the GDPR.</w:t>
      </w:r>
    </w:p>
    <w:p w14:paraId="037E4E66" w14:textId="5D99A8EB" w:rsidR="0080662D" w:rsidRDefault="00A25553" w:rsidP="0080662D">
      <w:pPr>
        <w:pStyle w:val="BodyText"/>
        <w:numPr>
          <w:ilvl w:val="0"/>
          <w:numId w:val="27"/>
        </w:numPr>
      </w:pPr>
      <w:r>
        <w:t>Ensuring</w:t>
      </w:r>
      <w:r w:rsidR="0080662D">
        <w:t xml:space="preserve"> continued access to WHOIS data, including non-public data, for users with a legitimate purpose, until the time when the interim WHOIS model is fully operational, on a mandatory basis for all contracted parties.</w:t>
      </w:r>
    </w:p>
    <w:p w14:paraId="1F925CDF" w14:textId="64254263" w:rsidR="0080662D" w:rsidRDefault="00A25553" w:rsidP="0080662D">
      <w:pPr>
        <w:pStyle w:val="BodyText"/>
        <w:numPr>
          <w:ilvl w:val="0"/>
          <w:numId w:val="27"/>
        </w:numPr>
      </w:pPr>
      <w:r>
        <w:t>Ensuring</w:t>
      </w:r>
      <w:r w:rsidR="0080662D">
        <w:t xml:space="preserve"> that limitations in terms of query volume envisaged under an accreditation program balance realistic investigatory cross-referencing needs.</w:t>
      </w:r>
    </w:p>
    <w:p w14:paraId="104138D1" w14:textId="214ECE06" w:rsidR="0012744C" w:rsidRDefault="00A25553" w:rsidP="0080662D">
      <w:pPr>
        <w:pStyle w:val="BodyText"/>
        <w:numPr>
          <w:ilvl w:val="0"/>
          <w:numId w:val="27"/>
        </w:numPr>
      </w:pPr>
      <w:r>
        <w:t>Ensuring</w:t>
      </w:r>
      <w:r w:rsidR="0080662D">
        <w:t xml:space="preserve"> confidentiality of WHOIS queries by law enforcement agencies.</w:t>
      </w:r>
    </w:p>
    <w:p w14:paraId="1A45348A" w14:textId="27A5BF70" w:rsidR="0012744C" w:rsidRDefault="00A25553" w:rsidP="00921B8C">
      <w:pPr>
        <w:pStyle w:val="BodyText"/>
        <w:numPr>
          <w:ilvl w:val="0"/>
          <w:numId w:val="24"/>
        </w:numPr>
      </w:pPr>
      <w:r>
        <w:t xml:space="preserve">Engagement by GAC and PSWG members in relevant ICANN 62 sessions, including the Cross-Community Sessions on GDPR Compliance, Access to WHOIS and Accreditation and the GAC’s </w:t>
      </w:r>
      <w:r>
        <w:lastRenderedPageBreak/>
        <w:t>meeting with the ICANN Board, to argue for and get community support for the above objectives.</w:t>
      </w:r>
    </w:p>
    <w:p w14:paraId="03F9C84A" w14:textId="42D26F47" w:rsidR="00583EE4" w:rsidRDefault="00A25553" w:rsidP="00A25553">
      <w:pPr>
        <w:pStyle w:val="Heading2"/>
      </w:pPr>
      <w:r>
        <w:t>Current Position</w:t>
      </w:r>
    </w:p>
    <w:p w14:paraId="1912C4E0" w14:textId="69B40848" w:rsidR="00AE6E3D" w:rsidRDefault="00AE6E3D" w:rsidP="00D35147">
      <w:pPr>
        <w:pStyle w:val="BodyText"/>
      </w:pPr>
      <w:r>
        <w:t xml:space="preserve">This is a summary of a complex set of issues. More detailed information is available on the </w:t>
      </w:r>
      <w:hyperlink r:id="rId10" w:history="1">
        <w:r w:rsidRPr="00BF4CFB">
          <w:rPr>
            <w:rStyle w:val="Hyperlink"/>
          </w:rPr>
          <w:t>GAC website</w:t>
        </w:r>
      </w:hyperlink>
      <w:r>
        <w:t xml:space="preserve"> and at the links provided below.</w:t>
      </w:r>
    </w:p>
    <w:p w14:paraId="1E03D1C2" w14:textId="4FFD1594" w:rsidR="00D35147" w:rsidRDefault="00AE6E3D" w:rsidP="00D35147">
      <w:pPr>
        <w:pStyle w:val="BodyText"/>
      </w:pPr>
      <w:r>
        <w:t xml:space="preserve">The European General Data Protection Regulation (GDPR) came into effect on 25 May 2018. </w:t>
      </w:r>
      <w:r w:rsidR="00DF27CF">
        <w:t xml:space="preserve">The ICANN Board has adopted a </w:t>
      </w:r>
      <w:hyperlink r:id="rId11" w:anchor="annex" w:history="1">
        <w:r w:rsidR="00DF27CF" w:rsidRPr="00BF4CFB">
          <w:rPr>
            <w:rStyle w:val="Hyperlink"/>
          </w:rPr>
          <w:t>Temporary Specification</w:t>
        </w:r>
      </w:hyperlink>
      <w:r w:rsidR="00DF27CF">
        <w:t xml:space="preserve"> for gTLD (generic top level domain) Registration Data (Implementation of GDPR Interim Compliance Model). This </w:t>
      </w:r>
      <w:r w:rsidR="0066439B">
        <w:t xml:space="preserve">allows </w:t>
      </w:r>
      <w:r>
        <w:t>ICANN and gTLD registries and registrars to comply with existing ICANN contractual requirements an</w:t>
      </w:r>
      <w:r w:rsidR="00E82F0C">
        <w:t xml:space="preserve">d policies in light of the GDPR, particularly with regard to collecting </w:t>
      </w:r>
      <w:r w:rsidR="00241C6F">
        <w:t>and making available data on gTLD registrants.</w:t>
      </w:r>
    </w:p>
    <w:p w14:paraId="15CC8D27" w14:textId="7B630081" w:rsidR="00AE6E3D" w:rsidRDefault="00AE6E3D" w:rsidP="00D35147">
      <w:pPr>
        <w:pStyle w:val="BodyText"/>
      </w:pPr>
      <w:r>
        <w:t>The Temporary Specification provides for continued collection of Registration Data (still widely known</w:t>
      </w:r>
      <w:r w:rsidR="00A742DD">
        <w:t xml:space="preserve"> as WHOIS) but restricts access to personal data to those who demonstrate a legitimate purpose for obtaining such data. This restricted access is known as a tiered or layered system and will be implemented by new arrangements being put in place by contracted parties.  Such new systems are likely to include a system to accredit and credential users with a legitimate purpose.</w:t>
      </w:r>
    </w:p>
    <w:p w14:paraId="7649D577" w14:textId="5C5C7772" w:rsidR="00AE6E3D" w:rsidRDefault="00AE6E3D" w:rsidP="00D35147">
      <w:pPr>
        <w:pStyle w:val="BodyText"/>
      </w:pPr>
      <w:r>
        <w:t xml:space="preserve">The GAC, supported by its Public Safety Working Group, has argued on public policy grounds for continued access to WHOIS data for legitimate purposes by law enforcement agencies, consumers and others. This has included advice to the ICANN Board, </w:t>
      </w:r>
      <w:r w:rsidR="00192306">
        <w:t xml:space="preserve">and engagement, including </w:t>
      </w:r>
      <w:r>
        <w:t>public comment</w:t>
      </w:r>
      <w:r w:rsidR="00192306">
        <w:t xml:space="preserve">, with several community processes. </w:t>
      </w:r>
      <w:r>
        <w:t xml:space="preserve"> </w:t>
      </w:r>
    </w:p>
    <w:p w14:paraId="625F46A6" w14:textId="29A97B8E" w:rsidR="00192306" w:rsidRDefault="00192306" w:rsidP="00D35147">
      <w:pPr>
        <w:pStyle w:val="BodyText"/>
      </w:pPr>
      <w:r>
        <w:t>The Temporary Specification applies for a maximum of 12 months from 25 May 2018. During that time:</w:t>
      </w:r>
    </w:p>
    <w:p w14:paraId="65F5D0CC" w14:textId="2AE6B3C7" w:rsidR="00192306" w:rsidRDefault="00192306" w:rsidP="00192306">
      <w:pPr>
        <w:pStyle w:val="BodyText"/>
        <w:numPr>
          <w:ilvl w:val="0"/>
          <w:numId w:val="28"/>
        </w:numPr>
      </w:pPr>
      <w:r>
        <w:t>The Board will renew the Specification every 90 days, and may make adjustments based on, amongst other things, GAC advice.</w:t>
      </w:r>
    </w:p>
    <w:p w14:paraId="6F8BA45F" w14:textId="63FA4E4B" w:rsidR="00192306" w:rsidRPr="00D35147" w:rsidRDefault="00192306" w:rsidP="00192306">
      <w:pPr>
        <w:pStyle w:val="BodyText"/>
        <w:numPr>
          <w:ilvl w:val="0"/>
          <w:numId w:val="28"/>
        </w:numPr>
      </w:pPr>
      <w:r>
        <w:t xml:space="preserve">A GNSO </w:t>
      </w:r>
      <w:hyperlink r:id="rId12" w:history="1">
        <w:r w:rsidRPr="009A63F4">
          <w:rPr>
            <w:rStyle w:val="Hyperlink"/>
          </w:rPr>
          <w:t xml:space="preserve">Expedited Policy </w:t>
        </w:r>
        <w:r w:rsidR="00241C6F" w:rsidRPr="009A63F4">
          <w:rPr>
            <w:rStyle w:val="Hyperlink"/>
          </w:rPr>
          <w:t>Development Process</w:t>
        </w:r>
      </w:hyperlink>
      <w:r w:rsidR="00477F27">
        <w:t xml:space="preserve"> (EPDP) is one option being considered by the GNSO Council</w:t>
      </w:r>
      <w:r w:rsidR="00241C6F">
        <w:t xml:space="preserve"> to </w:t>
      </w:r>
      <w:r>
        <w:t>make recommendations on the policies that should apply to the issues covered by the Specification.</w:t>
      </w:r>
      <w:r w:rsidR="00241C6F">
        <w:t xml:space="preserve"> The details of this, including how other SOs/ACs might participate, have not been finalised by the GNSO Council.</w:t>
      </w:r>
    </w:p>
    <w:p w14:paraId="032E5BE9" w14:textId="3465E936" w:rsidR="00AB2562" w:rsidRDefault="00241C6F" w:rsidP="00AB2562">
      <w:pPr>
        <w:pStyle w:val="BodyText"/>
      </w:pPr>
      <w:r>
        <w:t xml:space="preserve">The Specification incorporates some parts of the GAC advice contained in the San Juan Communique and defers a response on four elements pending further Board-GAC discussions (see above). It includes some issues which are not finalised, although it is not yet clear whether these might be incorporated into the Specification during the next 12 months or left for resolution by the EPDP. These are: </w:t>
      </w:r>
    </w:p>
    <w:p w14:paraId="5AF44832" w14:textId="77777777" w:rsidR="00AB2562" w:rsidRPr="00AB2562" w:rsidRDefault="00AB2562" w:rsidP="00AB2562">
      <w:pPr>
        <w:numPr>
          <w:ilvl w:val="0"/>
          <w:numId w:val="23"/>
        </w:numPr>
        <w:shd w:val="clear" w:color="auto" w:fill="FFFFFF"/>
        <w:spacing w:after="225"/>
        <w:ind w:left="1020"/>
        <w:rPr>
          <w:rFonts w:ascii="Century Gothic" w:hAnsi="Century Gothic"/>
          <w:color w:val="333333"/>
          <w:sz w:val="20"/>
          <w:szCs w:val="20"/>
          <w:lang w:val="en-AU"/>
        </w:rPr>
      </w:pPr>
      <w:r w:rsidRPr="00AB2562">
        <w:rPr>
          <w:rFonts w:ascii="Century Gothic" w:hAnsi="Century Gothic"/>
          <w:color w:val="333333"/>
          <w:sz w:val="20"/>
          <w:szCs w:val="20"/>
          <w:lang w:val="en-AU"/>
        </w:rPr>
        <w:t>Pursuant to Section 4.4, continuing community work to develop an accreditation and access model that complies with GDPR, while recognizing the need to obtain additional guidance from Article 29 Working Party/European Data Protection Board.</w:t>
      </w:r>
    </w:p>
    <w:p w14:paraId="68827E34" w14:textId="77777777" w:rsidR="00AB2562" w:rsidRPr="00AB2562" w:rsidRDefault="00AB2562" w:rsidP="00AB2562">
      <w:pPr>
        <w:numPr>
          <w:ilvl w:val="0"/>
          <w:numId w:val="23"/>
        </w:numPr>
        <w:shd w:val="clear" w:color="auto" w:fill="FFFFFF"/>
        <w:spacing w:after="225"/>
        <w:ind w:left="1020"/>
        <w:rPr>
          <w:rFonts w:ascii="Century Gothic" w:hAnsi="Century Gothic"/>
          <w:color w:val="333333"/>
          <w:sz w:val="20"/>
          <w:szCs w:val="20"/>
          <w:lang w:val="en-AU"/>
        </w:rPr>
      </w:pPr>
      <w:r w:rsidRPr="00AB2562">
        <w:rPr>
          <w:rFonts w:ascii="Century Gothic" w:hAnsi="Century Gothic"/>
          <w:color w:val="333333"/>
          <w:sz w:val="20"/>
          <w:szCs w:val="20"/>
          <w:lang w:val="en-AU"/>
        </w:rPr>
        <w:t>Addressing the feasibility of requiring unique contacts to have a uniform anonymized email address across domain name registrations at a given Registrar, while ensuring security/stability and meeting the requirements of Section 2.5.1 of Appendix A.</w:t>
      </w:r>
    </w:p>
    <w:p w14:paraId="71307B23" w14:textId="77777777" w:rsidR="00AB2562" w:rsidRPr="00AB2562" w:rsidRDefault="00AB2562" w:rsidP="00AB2562">
      <w:pPr>
        <w:numPr>
          <w:ilvl w:val="0"/>
          <w:numId w:val="23"/>
        </w:numPr>
        <w:shd w:val="clear" w:color="auto" w:fill="FFFFFF"/>
        <w:spacing w:after="225"/>
        <w:ind w:left="1020"/>
        <w:rPr>
          <w:rFonts w:ascii="Century Gothic" w:hAnsi="Century Gothic"/>
          <w:color w:val="333333"/>
          <w:sz w:val="20"/>
          <w:szCs w:val="20"/>
          <w:lang w:val="en-AU"/>
        </w:rPr>
      </w:pPr>
      <w:r w:rsidRPr="00AB2562">
        <w:rPr>
          <w:rFonts w:ascii="Century Gothic" w:hAnsi="Century Gothic"/>
          <w:color w:val="333333"/>
          <w:sz w:val="20"/>
          <w:szCs w:val="20"/>
          <w:lang w:val="en-AU"/>
        </w:rPr>
        <w:t>Developing methods to provide potential URS and UDRP complainants with sufficient access to Registration Data to support good-faith filings of complaints.</w:t>
      </w:r>
    </w:p>
    <w:p w14:paraId="6BF0DD48" w14:textId="77777777" w:rsidR="00AB2562" w:rsidRPr="00AB2562" w:rsidRDefault="00AB2562" w:rsidP="00AB2562">
      <w:pPr>
        <w:numPr>
          <w:ilvl w:val="0"/>
          <w:numId w:val="23"/>
        </w:numPr>
        <w:shd w:val="clear" w:color="auto" w:fill="FFFFFF"/>
        <w:spacing w:after="225"/>
        <w:ind w:left="1020"/>
        <w:rPr>
          <w:rFonts w:ascii="Century Gothic" w:hAnsi="Century Gothic"/>
          <w:color w:val="333333"/>
          <w:sz w:val="20"/>
          <w:szCs w:val="20"/>
          <w:lang w:val="en-AU"/>
        </w:rPr>
      </w:pPr>
      <w:r w:rsidRPr="00AB2562">
        <w:rPr>
          <w:rFonts w:ascii="Century Gothic" w:hAnsi="Century Gothic"/>
          <w:color w:val="333333"/>
          <w:sz w:val="20"/>
          <w:szCs w:val="20"/>
          <w:lang w:val="en-AU"/>
        </w:rPr>
        <w:lastRenderedPageBreak/>
        <w:t>Consistent process for continued access to Registration Data, including non-public data, for users with a legitimate purpose, until the time when a final accreditation and access mechanism is fully operational, on a mandatory basis for all contracted parties.</w:t>
      </w:r>
    </w:p>
    <w:p w14:paraId="1265FED5" w14:textId="77777777" w:rsidR="00AB2562" w:rsidRPr="00AB2562" w:rsidRDefault="00AB2562" w:rsidP="00AB2562">
      <w:pPr>
        <w:numPr>
          <w:ilvl w:val="0"/>
          <w:numId w:val="23"/>
        </w:numPr>
        <w:shd w:val="clear" w:color="auto" w:fill="FFFFFF"/>
        <w:spacing w:after="225"/>
        <w:ind w:left="1020"/>
        <w:rPr>
          <w:rFonts w:ascii="Century Gothic" w:hAnsi="Century Gothic"/>
          <w:color w:val="333333"/>
          <w:sz w:val="20"/>
          <w:szCs w:val="20"/>
          <w:lang w:val="en-AU"/>
        </w:rPr>
      </w:pPr>
      <w:r w:rsidRPr="00AB2562">
        <w:rPr>
          <w:rFonts w:ascii="Century Gothic" w:hAnsi="Century Gothic"/>
          <w:color w:val="333333"/>
          <w:sz w:val="20"/>
          <w:szCs w:val="20"/>
          <w:lang w:val="en-AU"/>
        </w:rPr>
        <w:t>Distinguishing between legal and natural persons to allow for public access to the Registration Data of legal persons, which are not in the remit of the GDPR.</w:t>
      </w:r>
    </w:p>
    <w:p w14:paraId="6DEDE59A" w14:textId="77777777" w:rsidR="00AB2562" w:rsidRPr="00AB2562" w:rsidRDefault="00AB2562" w:rsidP="00AB2562">
      <w:pPr>
        <w:numPr>
          <w:ilvl w:val="0"/>
          <w:numId w:val="23"/>
        </w:numPr>
        <w:shd w:val="clear" w:color="auto" w:fill="FFFFFF"/>
        <w:spacing w:after="225"/>
        <w:ind w:left="1020"/>
        <w:rPr>
          <w:rFonts w:ascii="Century Gothic" w:hAnsi="Century Gothic"/>
          <w:color w:val="333333"/>
          <w:sz w:val="20"/>
          <w:szCs w:val="20"/>
          <w:lang w:val="en-AU"/>
        </w:rPr>
      </w:pPr>
      <w:r w:rsidRPr="00AB2562">
        <w:rPr>
          <w:rFonts w:ascii="Century Gothic" w:hAnsi="Century Gothic"/>
          <w:color w:val="333333"/>
          <w:sz w:val="20"/>
          <w:szCs w:val="20"/>
          <w:lang w:val="en-AU"/>
        </w:rPr>
        <w:t>Limitations in terms of query volume envisaged under an accreditation program balanced against realistic investigatory cross-referencing needs.</w:t>
      </w:r>
    </w:p>
    <w:p w14:paraId="36E83DEF" w14:textId="3F3B4DEB" w:rsidR="00962727" w:rsidRPr="00241C6F" w:rsidRDefault="00AB2562" w:rsidP="00036D48">
      <w:pPr>
        <w:numPr>
          <w:ilvl w:val="0"/>
          <w:numId w:val="23"/>
        </w:numPr>
        <w:shd w:val="clear" w:color="auto" w:fill="FFFFFF"/>
        <w:spacing w:after="225"/>
        <w:ind w:left="1020"/>
        <w:rPr>
          <w:rFonts w:ascii="Century Gothic" w:hAnsi="Century Gothic"/>
          <w:color w:val="333333"/>
          <w:sz w:val="20"/>
          <w:szCs w:val="20"/>
          <w:lang w:val="en-AU"/>
        </w:rPr>
      </w:pPr>
      <w:r w:rsidRPr="00AB2562">
        <w:rPr>
          <w:rFonts w:ascii="Century Gothic" w:hAnsi="Century Gothic"/>
          <w:color w:val="333333"/>
          <w:sz w:val="20"/>
          <w:szCs w:val="20"/>
          <w:lang w:val="en-AU"/>
        </w:rPr>
        <w:t>Confidentiality of queries for Registration Data by law enforcement authorities.</w:t>
      </w:r>
    </w:p>
    <w:p w14:paraId="1A6AE836" w14:textId="4F6DFEE4" w:rsidR="00036D48" w:rsidRPr="00E42E83" w:rsidRDefault="00E42E83" w:rsidP="00036D48">
      <w:pPr>
        <w:pStyle w:val="BodyText"/>
        <w:rPr>
          <w:b/>
        </w:rPr>
      </w:pPr>
      <w:r w:rsidRPr="00E42E83">
        <w:rPr>
          <w:b/>
        </w:rPr>
        <w:t xml:space="preserve">Relevant </w:t>
      </w:r>
      <w:r w:rsidR="007E013D" w:rsidRPr="00E42E83">
        <w:rPr>
          <w:b/>
        </w:rPr>
        <w:t xml:space="preserve">ICANN 62 </w:t>
      </w:r>
      <w:r w:rsidRPr="00E42E83">
        <w:rPr>
          <w:b/>
        </w:rPr>
        <w:t>Sessions</w:t>
      </w:r>
    </w:p>
    <w:p w14:paraId="779AA083" w14:textId="306A05DE" w:rsidR="007E013D" w:rsidRDefault="00E42E83" w:rsidP="00036D48">
      <w:pPr>
        <w:pStyle w:val="BodyText"/>
      </w:pPr>
      <w:r>
        <w:t>Monday 25 June: GAC Session – GDPR Overview</w:t>
      </w:r>
    </w:p>
    <w:p w14:paraId="5737E099" w14:textId="67C20E10" w:rsidR="00E42E83" w:rsidRDefault="00E42E83" w:rsidP="00036D48">
      <w:pPr>
        <w:pStyle w:val="BodyText"/>
      </w:pPr>
      <w:r>
        <w:t xml:space="preserve">Monday 25 June: </w:t>
      </w:r>
      <w:r w:rsidR="00F8151B">
        <w:t xml:space="preserve">High Interest Topic – Update from </w:t>
      </w:r>
      <w:r>
        <w:t>RDS-WHOIS2 Review Team</w:t>
      </w:r>
    </w:p>
    <w:p w14:paraId="1FDBE363" w14:textId="02F1E3EB" w:rsidR="007E013D" w:rsidRDefault="00E42E83" w:rsidP="00036D48">
      <w:pPr>
        <w:pStyle w:val="BodyText"/>
      </w:pPr>
      <w:r>
        <w:t xml:space="preserve">Tuesday 26 June: </w:t>
      </w:r>
      <w:r w:rsidR="007E013D">
        <w:t xml:space="preserve">GAC </w:t>
      </w:r>
      <w:r>
        <w:t xml:space="preserve">Session - </w:t>
      </w:r>
      <w:r w:rsidR="007E013D">
        <w:t>GDPR discussion</w:t>
      </w:r>
      <w:r>
        <w:t xml:space="preserve"> (1)</w:t>
      </w:r>
    </w:p>
    <w:p w14:paraId="10AB7902" w14:textId="3AE05C54" w:rsidR="00F8151B" w:rsidRDefault="00E42E83" w:rsidP="00036D48">
      <w:pPr>
        <w:pStyle w:val="BodyText"/>
      </w:pPr>
      <w:r>
        <w:t>Tuesday 26 J</w:t>
      </w:r>
      <w:r w:rsidR="00F8151B">
        <w:t>une: Cross Community Sessions (</w:t>
      </w:r>
      <w:r w:rsidR="00F8151B" w:rsidRPr="00085123">
        <w:rPr>
          <w:b/>
        </w:rPr>
        <w:t>Note</w:t>
      </w:r>
      <w:r w:rsidR="00F8151B">
        <w:t>: Details of these have not yet been finalised. The issues to be covered will probably include those of concern to the GAC, but also other items including guidance for registries and registrars on compliance arrangements and costs.)</w:t>
      </w:r>
    </w:p>
    <w:p w14:paraId="68A4542E" w14:textId="49A06CF1" w:rsidR="00F8151B" w:rsidRDefault="00F8151B" w:rsidP="00F8151B">
      <w:pPr>
        <w:pStyle w:val="BodyText"/>
        <w:numPr>
          <w:ilvl w:val="0"/>
          <w:numId w:val="30"/>
        </w:numPr>
      </w:pPr>
      <w:r>
        <w:t>WHOIS/RDS Policy Post-GDPR</w:t>
      </w:r>
    </w:p>
    <w:p w14:paraId="1E98AC82" w14:textId="659B3E37" w:rsidR="00E42E83" w:rsidRDefault="00F8151B" w:rsidP="00F8151B">
      <w:pPr>
        <w:pStyle w:val="BodyText"/>
        <w:numPr>
          <w:ilvl w:val="0"/>
          <w:numId w:val="29"/>
        </w:numPr>
      </w:pPr>
      <w:r>
        <w:t>Accreditation &amp; Access to Non-Public WHOIS Data Post-GDPR</w:t>
      </w:r>
      <w:r w:rsidR="00241C6F">
        <w:t xml:space="preserve"> </w:t>
      </w:r>
    </w:p>
    <w:p w14:paraId="1639B0B8" w14:textId="4CF70B58" w:rsidR="00E42E83" w:rsidRDefault="00E42E83" w:rsidP="00036D48">
      <w:pPr>
        <w:pStyle w:val="BodyText"/>
      </w:pPr>
      <w:r>
        <w:t>Wednesday 27 June: GAC Session - GDPR discussion (2)</w:t>
      </w:r>
    </w:p>
    <w:p w14:paraId="3C7B01FD" w14:textId="1B1D9BC6" w:rsidR="00E42E83" w:rsidRDefault="00E42E83" w:rsidP="00036D48">
      <w:pPr>
        <w:pStyle w:val="BodyText"/>
      </w:pPr>
      <w:r>
        <w:t>Wednesday 27 June: GAC meeting with ICANN Board</w:t>
      </w:r>
    </w:p>
    <w:p w14:paraId="59EDABC8" w14:textId="4C42E39F" w:rsidR="00E42E83" w:rsidRDefault="00E42E83" w:rsidP="00036D48">
      <w:pPr>
        <w:pStyle w:val="BodyText"/>
      </w:pPr>
      <w:r>
        <w:t>Wednesday 27 June: GAC Communique drafting</w:t>
      </w:r>
    </w:p>
    <w:p w14:paraId="3D233430" w14:textId="3EC9DECB" w:rsidR="00F8151B" w:rsidRPr="00036D48" w:rsidRDefault="00F8151B" w:rsidP="00036D48">
      <w:pPr>
        <w:pStyle w:val="BodyText"/>
      </w:pPr>
      <w:r>
        <w:t>Thursday 28 June: Temporary Specification for gTLD Registration Data</w:t>
      </w:r>
    </w:p>
    <w:p w14:paraId="3AF578CE" w14:textId="4723B32A" w:rsidR="00EF36F3" w:rsidRDefault="00EF36F3" w:rsidP="00EF36F3">
      <w:pPr>
        <w:pStyle w:val="Heading2"/>
      </w:pPr>
      <w:r>
        <w:t>Further Information</w:t>
      </w:r>
    </w:p>
    <w:p w14:paraId="3F9D23A1" w14:textId="4BFA94CB" w:rsidR="00EF36F3" w:rsidRDefault="00C87641" w:rsidP="00EF36F3">
      <w:pPr>
        <w:pStyle w:val="BodyText"/>
      </w:pPr>
      <w:hyperlink r:id="rId13" w:history="1">
        <w:r w:rsidR="00EF36F3" w:rsidRPr="00BF4CFB">
          <w:rPr>
            <w:rStyle w:val="Hyperlink"/>
          </w:rPr>
          <w:t>GAC website</w:t>
        </w:r>
      </w:hyperlink>
    </w:p>
    <w:p w14:paraId="672B2096" w14:textId="31944752" w:rsidR="009A63F4" w:rsidRDefault="00C87641" w:rsidP="00EF36F3">
      <w:pPr>
        <w:pStyle w:val="BodyText"/>
      </w:pPr>
      <w:hyperlink r:id="rId14" w:history="1">
        <w:r w:rsidR="009A63F4" w:rsidRPr="009A63F4">
          <w:rPr>
            <w:rStyle w:val="Hyperlink"/>
          </w:rPr>
          <w:t>ICANN Data Protection/Privacy page</w:t>
        </w:r>
      </w:hyperlink>
    </w:p>
    <w:p w14:paraId="30102AEC" w14:textId="11DF8BDB" w:rsidR="00BF4CFB" w:rsidRDefault="00C87641" w:rsidP="00EF36F3">
      <w:pPr>
        <w:pStyle w:val="BodyText"/>
      </w:pPr>
      <w:hyperlink r:id="rId15" w:history="1">
        <w:r w:rsidR="00477F27" w:rsidRPr="00477F27">
          <w:rPr>
            <w:rStyle w:val="Hyperlink"/>
          </w:rPr>
          <w:t>ICANN 62 Schedule</w:t>
        </w:r>
      </w:hyperlink>
    </w:p>
    <w:p w14:paraId="021872AC" w14:textId="77777777" w:rsidR="00EF36F3" w:rsidRPr="00EF36F3" w:rsidRDefault="00EF36F3" w:rsidP="00EF36F3">
      <w:pPr>
        <w:pStyle w:val="BodyText"/>
      </w:pPr>
    </w:p>
    <w:p w14:paraId="0A307C70" w14:textId="42BB5E8F" w:rsidR="00036D48" w:rsidRPr="0046328D" w:rsidRDefault="00036D48" w:rsidP="0046328D">
      <w:pPr>
        <w:pStyle w:val="BodyText"/>
      </w:pPr>
    </w:p>
    <w:p w14:paraId="1D48DB79" w14:textId="77777777" w:rsidR="00E15459" w:rsidRDefault="00E15459" w:rsidP="00E15459">
      <w:pPr>
        <w:pStyle w:val="Heading2"/>
      </w:pPr>
      <w:bookmarkStart w:id="1" w:name="_Hlk484433727"/>
    </w:p>
    <w:p w14:paraId="0A190E78" w14:textId="636B0FC5" w:rsidR="00E15459" w:rsidRDefault="00E15459" w:rsidP="00E15459">
      <w:pPr>
        <w:pStyle w:val="Heading2"/>
      </w:pPr>
      <w:r>
        <w:t>Document Administration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15459" w:rsidRPr="003F43E3" w14:paraId="5AF9ECC9" w14:textId="77777777" w:rsidTr="00D27E64">
        <w:tc>
          <w:tcPr>
            <w:tcW w:w="3261" w:type="dxa"/>
            <w:vAlign w:val="center"/>
          </w:tcPr>
          <w:p w14:paraId="7E4CC06C" w14:textId="77777777" w:rsidR="00E15459" w:rsidRPr="003F43E3" w:rsidRDefault="00E15459" w:rsidP="00D27E64">
            <w:pPr>
              <w:ind w:right="-132"/>
              <w:rPr>
                <w:rFonts w:ascii="Century Gothic" w:eastAsiaTheme="minorEastAsia" w:hAnsi="Century Gothic" w:cstheme="minorBidi"/>
                <w:b/>
                <w:sz w:val="20"/>
                <w:szCs w:val="20"/>
              </w:rPr>
            </w:pPr>
            <w:r w:rsidRPr="003F43E3">
              <w:rPr>
                <w:rFonts w:ascii="Century Gothic" w:eastAsiaTheme="minorEastAsia" w:hAnsi="Century Gothic" w:cstheme="minorBidi"/>
                <w:b/>
                <w:sz w:val="20"/>
                <w:szCs w:val="20"/>
              </w:rPr>
              <w:t>Title</w:t>
            </w:r>
          </w:p>
        </w:tc>
        <w:tc>
          <w:tcPr>
            <w:tcW w:w="5811" w:type="dxa"/>
            <w:vAlign w:val="center"/>
          </w:tcPr>
          <w:p w14:paraId="617EDD3A" w14:textId="0BC17ACD" w:rsidR="00E15459" w:rsidRPr="00EA3A02" w:rsidRDefault="00E42E83" w:rsidP="00D27E64">
            <w:pPr>
              <w:ind w:right="545"/>
              <w:rPr>
                <w:rFonts w:ascii="Century Gothic" w:eastAsiaTheme="minorEastAsia" w:hAnsi="Century Gothic" w:cstheme="minorBidi"/>
                <w:sz w:val="20"/>
                <w:szCs w:val="20"/>
              </w:rPr>
            </w:pPr>
            <w:r>
              <w:rPr>
                <w:rFonts w:ascii="Century Gothic" w:eastAsiaTheme="minorEastAsia" w:hAnsi="Century Gothic" w:cstheme="minorBidi"/>
                <w:sz w:val="20"/>
                <w:szCs w:val="20"/>
              </w:rPr>
              <w:t>GDPR Overview</w:t>
            </w:r>
          </w:p>
        </w:tc>
      </w:tr>
      <w:tr w:rsidR="00E15459" w:rsidRPr="003F43E3" w14:paraId="6D5C3D47" w14:textId="77777777" w:rsidTr="00D27E64">
        <w:tc>
          <w:tcPr>
            <w:tcW w:w="3261" w:type="dxa"/>
            <w:vAlign w:val="center"/>
          </w:tcPr>
          <w:p w14:paraId="4CC45D6D" w14:textId="77777777" w:rsidR="00E15459" w:rsidRPr="003F43E3" w:rsidRDefault="00E15459" w:rsidP="00D27E64">
            <w:pPr>
              <w:ind w:right="-132"/>
              <w:rPr>
                <w:rFonts w:ascii="Century Gothic" w:eastAsiaTheme="minorEastAsia" w:hAnsi="Century Gothic" w:cstheme="minorBidi"/>
                <w:b/>
                <w:sz w:val="20"/>
                <w:szCs w:val="20"/>
              </w:rPr>
            </w:pPr>
            <w:r w:rsidRPr="003F43E3">
              <w:rPr>
                <w:rFonts w:ascii="Century Gothic" w:eastAsiaTheme="minorEastAsia" w:hAnsi="Century Gothic" w:cstheme="minorBidi"/>
                <w:b/>
                <w:sz w:val="20"/>
                <w:szCs w:val="20"/>
              </w:rPr>
              <w:t>Distribution</w:t>
            </w:r>
          </w:p>
        </w:tc>
        <w:tc>
          <w:tcPr>
            <w:tcW w:w="5811" w:type="dxa"/>
            <w:vAlign w:val="center"/>
          </w:tcPr>
          <w:p w14:paraId="244104A7" w14:textId="77777777" w:rsidR="00E15459" w:rsidRPr="003F43E3" w:rsidRDefault="00E15459" w:rsidP="00D27E64">
            <w:pPr>
              <w:ind w:right="545"/>
              <w:rPr>
                <w:rFonts w:ascii="Century Gothic" w:eastAsiaTheme="minorEastAsia" w:hAnsi="Century Gothic" w:cstheme="minorBidi"/>
                <w:sz w:val="20"/>
                <w:szCs w:val="20"/>
              </w:rPr>
            </w:pPr>
            <w:r>
              <w:rPr>
                <w:rFonts w:ascii="Century Gothic" w:eastAsiaTheme="minorEastAsia" w:hAnsi="Century Gothic" w:cstheme="minorBidi"/>
                <w:sz w:val="20"/>
                <w:szCs w:val="20"/>
              </w:rPr>
              <w:t>GAC Members</w:t>
            </w:r>
          </w:p>
        </w:tc>
      </w:tr>
      <w:tr w:rsidR="00E15459" w:rsidRPr="003F43E3" w14:paraId="5BBD5348" w14:textId="77777777" w:rsidTr="00D27E64">
        <w:tc>
          <w:tcPr>
            <w:tcW w:w="3261" w:type="dxa"/>
            <w:vAlign w:val="center"/>
          </w:tcPr>
          <w:p w14:paraId="06A7B8FE" w14:textId="77777777" w:rsidR="00E15459" w:rsidRPr="003F43E3" w:rsidRDefault="00E15459" w:rsidP="00D27E64">
            <w:pPr>
              <w:ind w:right="-132"/>
              <w:rPr>
                <w:rFonts w:ascii="Century Gothic" w:eastAsiaTheme="minorEastAsia" w:hAnsi="Century Gothic" w:cstheme="minorBidi"/>
                <w:b/>
                <w:sz w:val="20"/>
                <w:szCs w:val="20"/>
              </w:rPr>
            </w:pPr>
            <w:r w:rsidRPr="003F43E3">
              <w:rPr>
                <w:rFonts w:ascii="Century Gothic" w:eastAsiaTheme="minorEastAsia" w:hAnsi="Century Gothic" w:cstheme="minorBidi"/>
                <w:b/>
                <w:sz w:val="20"/>
                <w:szCs w:val="20"/>
              </w:rPr>
              <w:t>Distribution Date</w:t>
            </w:r>
          </w:p>
        </w:tc>
        <w:tc>
          <w:tcPr>
            <w:tcW w:w="5811" w:type="dxa"/>
            <w:vAlign w:val="center"/>
          </w:tcPr>
          <w:p w14:paraId="6B70A6D6" w14:textId="00CBB9C0" w:rsidR="00E15459" w:rsidRPr="003F43E3" w:rsidRDefault="00A25553" w:rsidP="00D27E64">
            <w:pPr>
              <w:ind w:right="545"/>
              <w:rPr>
                <w:rFonts w:ascii="Century Gothic" w:eastAsiaTheme="minorEastAsia" w:hAnsi="Century Gothic" w:cstheme="minorBidi"/>
                <w:sz w:val="20"/>
                <w:szCs w:val="20"/>
              </w:rPr>
            </w:pPr>
            <w:r>
              <w:rPr>
                <w:rFonts w:ascii="Century Gothic" w:eastAsiaTheme="minorEastAsia" w:hAnsi="Century Gothic" w:cstheme="minorBidi"/>
                <w:sz w:val="20"/>
                <w:szCs w:val="20"/>
              </w:rPr>
              <w:t>6 June 2018</w:t>
            </w:r>
          </w:p>
        </w:tc>
      </w:tr>
      <w:bookmarkEnd w:id="1"/>
    </w:tbl>
    <w:p w14:paraId="33DD9A1F" w14:textId="0FB73C68" w:rsidR="005B7B51" w:rsidRDefault="005B7B51" w:rsidP="00E15459">
      <w:pPr>
        <w:pStyle w:val="BodyText"/>
        <w:ind w:right="545"/>
      </w:pPr>
    </w:p>
    <w:sectPr w:rsidR="005B7B51" w:rsidSect="007A174E">
      <w:headerReference w:type="default" r:id="rId16"/>
      <w:footerReference w:type="default" r:id="rId17"/>
      <w:headerReference w:type="first" r:id="rId18"/>
      <w:footerReference w:type="first" r:id="rId19"/>
      <w:pgSz w:w="11907" w:h="16839" w:code="9"/>
      <w:pgMar w:top="1387" w:right="850" w:bottom="1440" w:left="1440" w:header="28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E93E2" w14:textId="77777777" w:rsidR="00C87641" w:rsidRDefault="00C87641" w:rsidP="00A24449">
      <w:r>
        <w:separator/>
      </w:r>
    </w:p>
  </w:endnote>
  <w:endnote w:type="continuationSeparator" w:id="0">
    <w:p w14:paraId="1AB02C22" w14:textId="77777777" w:rsidR="00C87641" w:rsidRDefault="00C87641" w:rsidP="00A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BFA9" w14:textId="77777777" w:rsidR="00776376" w:rsidRDefault="00776376" w:rsidP="002276FD">
    <w:pPr>
      <w:pStyle w:val="Footer"/>
      <w:ind w:left="-567" w:right="261"/>
    </w:pPr>
  </w:p>
  <w:p w14:paraId="1F6A8333" w14:textId="1ADE58B7" w:rsidR="00776376" w:rsidRPr="00B026C8" w:rsidRDefault="00776376" w:rsidP="00E15459">
    <w:pPr>
      <w:pBdr>
        <w:top w:val="single" w:sz="18" w:space="1" w:color="1F497D"/>
      </w:pBdr>
      <w:spacing w:before="240"/>
      <w:ind w:right="545"/>
      <w:rPr>
        <w:rFonts w:ascii="Century Gothic" w:hAnsi="Century Gothic"/>
        <w:color w:val="00408E"/>
      </w:rPr>
    </w:pPr>
    <w:r>
      <w:rPr>
        <w:rFonts w:ascii="Century Gothic" w:hAnsi="Century Gothic"/>
        <w:color w:val="00408E"/>
        <w:sz w:val="16"/>
        <w:szCs w:val="16"/>
      </w:rPr>
      <w:t xml:space="preserve">       </w:t>
    </w:r>
    <w:r>
      <w:rPr>
        <w:rFonts w:ascii="Century Gothic" w:hAnsi="Century Gothic"/>
        <w:color w:val="00408E"/>
        <w:sz w:val="16"/>
        <w:szCs w:val="16"/>
      </w:rPr>
      <w:tab/>
    </w:r>
    <w:r>
      <w:rPr>
        <w:rFonts w:ascii="Century Gothic" w:hAnsi="Century Gothic"/>
        <w:color w:val="00408E"/>
        <w:sz w:val="16"/>
        <w:szCs w:val="16"/>
      </w:rPr>
      <w:tab/>
      <w:t xml:space="preserve">      </w:t>
    </w:r>
    <w:r>
      <w:rPr>
        <w:rFonts w:ascii="Century Gothic" w:hAnsi="Century Gothic"/>
        <w:color w:val="00408E"/>
        <w:sz w:val="16"/>
        <w:szCs w:val="16"/>
      </w:rPr>
      <w:tab/>
      <w:t xml:space="preserve">                </w:t>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r>
    <w:r>
      <w:rPr>
        <w:rFonts w:ascii="Century Gothic" w:hAnsi="Century Gothic"/>
        <w:color w:val="00408E"/>
        <w:sz w:val="16"/>
        <w:szCs w:val="16"/>
      </w:rPr>
      <w:tab/>
    </w:r>
    <w:r w:rsidR="00E15459">
      <w:rPr>
        <w:rFonts w:ascii="Century Gothic" w:hAnsi="Century Gothic"/>
        <w:color w:val="00408E"/>
        <w:sz w:val="16"/>
        <w:szCs w:val="16"/>
      </w:rPr>
      <w:tab/>
    </w:r>
    <w:r w:rsidR="00E15459">
      <w:rPr>
        <w:rFonts w:ascii="Century Gothic" w:hAnsi="Century Gothic"/>
        <w:color w:val="00408E"/>
        <w:sz w:val="16"/>
        <w:szCs w:val="16"/>
      </w:rPr>
      <w:tab/>
    </w:r>
    <w:r w:rsidR="00E15459">
      <w:rPr>
        <w:rFonts w:ascii="Century Gothic" w:hAnsi="Century Gothic"/>
        <w:color w:val="00408E"/>
        <w:sz w:val="16"/>
        <w:szCs w:val="16"/>
      </w:rPr>
      <w:tab/>
    </w:r>
    <w:r w:rsidR="00E15459">
      <w:rPr>
        <w:rFonts w:ascii="Century Gothic" w:hAnsi="Century Gothic"/>
        <w:color w:val="00408E"/>
        <w:sz w:val="16"/>
        <w:szCs w:val="16"/>
      </w:rPr>
      <w:tab/>
    </w:r>
    <w:r>
      <w:rPr>
        <w:rFonts w:ascii="Century Gothic" w:hAnsi="Century Gothic"/>
        <w:color w:val="00408E"/>
        <w:sz w:val="16"/>
        <w:szCs w:val="16"/>
      </w:rPr>
      <w:t xml:space="preserve"> </w:t>
    </w:r>
    <w:r w:rsidRPr="00B026C8">
      <w:rPr>
        <w:rFonts w:ascii="Century Gothic" w:hAnsi="Century Gothic"/>
        <w:color w:val="00408E"/>
        <w:sz w:val="16"/>
        <w:szCs w:val="16"/>
      </w:rPr>
      <w:t xml:space="preserve">Page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PAGE </w:instrText>
    </w:r>
    <w:r w:rsidRPr="00B026C8">
      <w:rPr>
        <w:rFonts w:ascii="Century Gothic" w:hAnsi="Century Gothic"/>
        <w:color w:val="00408E"/>
        <w:sz w:val="16"/>
        <w:szCs w:val="16"/>
      </w:rPr>
      <w:fldChar w:fldCharType="separate"/>
    </w:r>
    <w:r w:rsidR="004E28DA">
      <w:rPr>
        <w:rFonts w:ascii="Century Gothic" w:hAnsi="Century Gothic"/>
        <w:noProof/>
        <w:color w:val="00408E"/>
        <w:sz w:val="16"/>
        <w:szCs w:val="16"/>
      </w:rPr>
      <w:t>1</w:t>
    </w:r>
    <w:r w:rsidRPr="00B026C8">
      <w:rPr>
        <w:rFonts w:ascii="Century Gothic" w:hAnsi="Century Gothic"/>
        <w:color w:val="00408E"/>
        <w:sz w:val="16"/>
        <w:szCs w:val="16"/>
      </w:rPr>
      <w:fldChar w:fldCharType="end"/>
    </w:r>
    <w:r w:rsidRPr="00B026C8">
      <w:rPr>
        <w:rFonts w:ascii="Century Gothic" w:hAnsi="Century Gothic"/>
        <w:color w:val="00408E"/>
        <w:sz w:val="16"/>
        <w:szCs w:val="16"/>
      </w:rPr>
      <w:t xml:space="preserve"> of </w:t>
    </w:r>
    <w:r w:rsidRPr="00B026C8">
      <w:rPr>
        <w:rFonts w:ascii="Century Gothic" w:hAnsi="Century Gothic"/>
        <w:color w:val="00408E"/>
        <w:sz w:val="16"/>
        <w:szCs w:val="16"/>
      </w:rPr>
      <w:fldChar w:fldCharType="begin"/>
    </w:r>
    <w:r w:rsidRPr="00B026C8">
      <w:rPr>
        <w:rFonts w:ascii="Century Gothic" w:hAnsi="Century Gothic"/>
        <w:color w:val="00408E"/>
        <w:sz w:val="16"/>
        <w:szCs w:val="16"/>
      </w:rPr>
      <w:instrText xml:space="preserve"> NUMPAGES  </w:instrText>
    </w:r>
    <w:r w:rsidRPr="00B026C8">
      <w:rPr>
        <w:rFonts w:ascii="Century Gothic" w:hAnsi="Century Gothic"/>
        <w:color w:val="00408E"/>
        <w:sz w:val="16"/>
        <w:szCs w:val="16"/>
      </w:rPr>
      <w:fldChar w:fldCharType="separate"/>
    </w:r>
    <w:r w:rsidR="004E28DA">
      <w:rPr>
        <w:rFonts w:ascii="Century Gothic" w:hAnsi="Century Gothic"/>
        <w:noProof/>
        <w:color w:val="00408E"/>
        <w:sz w:val="16"/>
        <w:szCs w:val="16"/>
      </w:rPr>
      <w:t>1</w:t>
    </w:r>
    <w:r w:rsidRPr="00B026C8">
      <w:rPr>
        <w:rFonts w:ascii="Century Gothic" w:hAnsi="Century Gothic"/>
        <w:color w:val="00408E"/>
        <w:sz w:val="16"/>
        <w:szCs w:val="16"/>
      </w:rPr>
      <w:fldChar w:fldCharType="end"/>
    </w:r>
  </w:p>
  <w:p w14:paraId="5437F5F8" w14:textId="77777777" w:rsidR="00776376" w:rsidRPr="000C0FD7" w:rsidRDefault="00776376" w:rsidP="003D7A8D">
    <w:pPr>
      <w:pStyle w:val="Footer"/>
      <w:tabs>
        <w:tab w:val="clear" w:pos="9360"/>
        <w:tab w:val="right" w:pos="8931"/>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29D5" w14:textId="77777777" w:rsidR="00776376" w:rsidRPr="00C2562C" w:rsidRDefault="00776376" w:rsidP="00740F60">
    <w:pPr>
      <w:pBdr>
        <w:top w:val="single" w:sz="18" w:space="1" w:color="1F497D"/>
      </w:pBdr>
      <w:spacing w:before="240"/>
      <w:ind w:right="544"/>
      <w:rPr>
        <w:color w:val="00408E"/>
        <w:sz w:val="2"/>
        <w:szCs w:val="2"/>
      </w:rPr>
    </w:pPr>
  </w:p>
  <w:p w14:paraId="6CEFBB86" w14:textId="77777777" w:rsidR="00776376" w:rsidRPr="00B026C8" w:rsidRDefault="00776376" w:rsidP="00740F60">
    <w:pPr>
      <w:pStyle w:val="NoSpacing"/>
      <w:ind w:right="544"/>
      <w:jc w:val="right"/>
      <w:rPr>
        <w:sz w:val="16"/>
        <w:szCs w:val="16"/>
      </w:rPr>
    </w:pPr>
    <w:r w:rsidRPr="00B026C8">
      <w:rPr>
        <w:sz w:val="16"/>
        <w:szCs w:val="16"/>
      </w:rPr>
      <w:t xml:space="preserve">203 Drummond Street, Carlton VIC 3053 </w:t>
    </w:r>
  </w:p>
  <w:p w14:paraId="43F9FA24" w14:textId="77777777" w:rsidR="00776376" w:rsidRPr="00B026C8" w:rsidRDefault="00776376" w:rsidP="00740F60">
    <w:pPr>
      <w:pStyle w:val="NoSpacing"/>
      <w:ind w:right="544"/>
      <w:jc w:val="right"/>
      <w:rPr>
        <w:sz w:val="16"/>
        <w:szCs w:val="16"/>
      </w:rPr>
    </w:pPr>
    <w:r w:rsidRPr="00B026C8">
      <w:rPr>
        <w:sz w:val="16"/>
        <w:szCs w:val="16"/>
      </w:rPr>
      <w:t>03 9650 7222</w:t>
    </w:r>
  </w:p>
  <w:p w14:paraId="67FE17A9" w14:textId="77777777" w:rsidR="00776376" w:rsidRPr="00B026C8" w:rsidRDefault="00776376" w:rsidP="00740F60">
    <w:pPr>
      <w:pStyle w:val="NoSpacing"/>
      <w:ind w:right="544"/>
      <w:jc w:val="right"/>
      <w:rPr>
        <w:sz w:val="16"/>
        <w:szCs w:val="16"/>
      </w:rPr>
    </w:pPr>
    <w:r w:rsidRPr="00B026C8">
      <w:rPr>
        <w:sz w:val="16"/>
        <w:szCs w:val="16"/>
      </w:rPr>
      <w:t xml:space="preserve">www.acig.com.au </w:t>
    </w:r>
  </w:p>
  <w:p w14:paraId="19DE8D68" w14:textId="77777777" w:rsidR="00776376" w:rsidRDefault="00776376" w:rsidP="003D7A8D">
    <w:pPr>
      <w:pStyle w:val="Footer"/>
      <w:jc w:val="center"/>
      <w:rPr>
        <w:color w:val="00408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17544" w14:textId="77777777" w:rsidR="00C87641" w:rsidRDefault="00C87641" w:rsidP="00A24449">
      <w:r>
        <w:separator/>
      </w:r>
    </w:p>
  </w:footnote>
  <w:footnote w:type="continuationSeparator" w:id="0">
    <w:p w14:paraId="10FA782A" w14:textId="77777777" w:rsidR="00C87641" w:rsidRDefault="00C87641" w:rsidP="00A24449">
      <w:r>
        <w:continuationSeparator/>
      </w:r>
    </w:p>
  </w:footnote>
  <w:footnote w:id="1">
    <w:p w14:paraId="68AA3F06" w14:textId="77777777" w:rsidR="009A63F4" w:rsidRPr="009A63F4" w:rsidRDefault="009A63F4" w:rsidP="009A63F4">
      <w:pPr>
        <w:rPr>
          <w:rFonts w:ascii="Century Gothic" w:hAnsi="Century Gothic"/>
          <w:sz w:val="18"/>
          <w:szCs w:val="18"/>
          <w:lang w:val="en-AU"/>
        </w:rPr>
      </w:pPr>
      <w:r w:rsidRPr="009A63F4">
        <w:rPr>
          <w:rStyle w:val="FootnoteReference"/>
          <w:rFonts w:ascii="Century Gothic" w:hAnsi="Century Gothic"/>
          <w:sz w:val="18"/>
          <w:szCs w:val="18"/>
        </w:rPr>
        <w:footnoteRef/>
      </w:r>
      <w:r w:rsidRPr="009A63F4">
        <w:rPr>
          <w:rFonts w:ascii="Century Gothic" w:hAnsi="Century Gothic"/>
          <w:sz w:val="18"/>
          <w:szCs w:val="18"/>
        </w:rPr>
        <w:t xml:space="preserve"> Resolution </w:t>
      </w:r>
      <w:r w:rsidRPr="009A63F4">
        <w:rPr>
          <w:rFonts w:ascii="Century Gothic" w:hAnsi="Century Gothic"/>
          <w:color w:val="333333"/>
          <w:sz w:val="18"/>
          <w:szCs w:val="18"/>
          <w:shd w:val="clear" w:color="auto" w:fill="FFFFFF"/>
          <w:lang w:val="en-AU"/>
        </w:rPr>
        <w:t>2018.05.17.09</w:t>
      </w:r>
    </w:p>
    <w:p w14:paraId="1FB2852A" w14:textId="3773DC85" w:rsidR="009A63F4" w:rsidRDefault="009A63F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CD3B" w14:textId="77777777" w:rsidR="00776376" w:rsidRDefault="00776376" w:rsidP="002276FD">
    <w:pPr>
      <w:pStyle w:val="Header"/>
      <w:tabs>
        <w:tab w:val="clear" w:pos="4680"/>
        <w:tab w:val="clear" w:pos="9360"/>
      </w:tabs>
      <w:ind w:left="7920" w:right="-306" w:firstLine="444"/>
    </w:pPr>
    <w:r>
      <w:rPr>
        <w:noProof/>
        <w:lang w:val="en-GB" w:eastAsia="en-GB"/>
      </w:rPr>
      <w:drawing>
        <wp:inline distT="0" distB="0" distL="0" distR="0" wp14:anchorId="2EFA62C4" wp14:editId="56ABB837">
          <wp:extent cx="421005" cy="269875"/>
          <wp:effectExtent l="19050" t="0" r="0" b="0"/>
          <wp:docPr id="6" name="Picture 152" descr="aci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cig logo transparent"/>
                  <pic:cNvPicPr>
                    <a:picLocks noChangeAspect="1" noChangeArrowheads="1"/>
                  </pic:cNvPicPr>
                </pic:nvPicPr>
                <pic:blipFill>
                  <a:blip r:embed="rId1"/>
                  <a:srcRect/>
                  <a:stretch>
                    <a:fillRect/>
                  </a:stretch>
                </pic:blipFill>
                <pic:spPr bwMode="auto">
                  <a:xfrm>
                    <a:off x="0" y="0"/>
                    <a:ext cx="421005" cy="269875"/>
                  </a:xfrm>
                  <a:prstGeom prst="rect">
                    <a:avLst/>
                  </a:prstGeom>
                  <a:noFill/>
                  <a:ln w="9525">
                    <a:noFill/>
                    <a:miter lim="800000"/>
                    <a:headEnd/>
                    <a:tailEnd/>
                  </a:ln>
                </pic:spPr>
              </pic:pic>
            </a:graphicData>
          </a:graphic>
        </wp:inline>
      </w:drawing>
    </w:r>
    <w:r>
      <w:rPr>
        <w:noProof/>
        <w:lang w:val="en-GB" w:eastAsia="en-GB"/>
      </w:rPr>
      <mc:AlternateContent>
        <mc:Choice Requires="wps">
          <w:drawing>
            <wp:anchor distT="0" distB="0" distL="114300" distR="114300" simplePos="0" relativeHeight="251657728" behindDoc="1" locked="0" layoutInCell="1" allowOverlap="1" wp14:anchorId="14C70CF8" wp14:editId="33494AA7">
              <wp:simplePos x="0" y="0"/>
              <wp:positionH relativeFrom="column">
                <wp:posOffset>4536440</wp:posOffset>
              </wp:positionH>
              <wp:positionV relativeFrom="paragraph">
                <wp:posOffset>222885</wp:posOffset>
              </wp:positionV>
              <wp:extent cx="1340485" cy="297815"/>
              <wp:effectExtent l="2540" t="381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297815"/>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E2D9AF" w14:textId="77777777" w:rsidR="00776376" w:rsidRPr="00A12C22" w:rsidRDefault="00776376" w:rsidP="00CD30A8">
                          <w:pPr>
                            <w:ind w:left="-142"/>
                            <w:rPr>
                              <w:rFonts w:ascii="Arial Narrow" w:hAnsi="Arial Narrow"/>
                              <w:color w:val="C00000"/>
                              <w:sz w:val="32"/>
                              <w:szCs w:val="32"/>
                            </w:rPr>
                          </w:pPr>
                          <w:r w:rsidRPr="00A12C22">
                            <w:rPr>
                              <w:rFonts w:ascii="Arial Narrow" w:hAnsi="Arial Narrow"/>
                              <w:color w:val="C00000"/>
                              <w:sz w:val="32"/>
                              <w:szCs w:val="32"/>
                            </w:rPr>
                            <w:t>GAC Secretariat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70CF8" id="_x0000_t202" coordsize="21600,21600" o:spt="202" path="m,l,21600r21600,l21600,xe">
              <v:stroke joinstyle="miter"/>
              <v:path gradientshapeok="t" o:connecttype="rect"/>
            </v:shapetype>
            <v:shape id="Text Box 4" o:spid="_x0000_s1026" type="#_x0000_t202" style="position:absolute;left:0;text-align:left;margin-left:357.2pt;margin-top:17.55pt;width:105.55pt;height: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" stroked="f">
              <v:textbox>
                <w:txbxContent>
                  <w:p w14:paraId="46E2D9AF" w14:textId="77777777" w:rsidR="00776376" w:rsidRPr="00A12C22" w:rsidRDefault="00776376" w:rsidP="00CD30A8">
                    <w:pPr>
                      <w:ind w:left="-142"/>
                      <w:rPr>
                        <w:rFonts w:ascii="Arial Narrow" w:hAnsi="Arial Narrow"/>
                        <w:color w:val="C00000"/>
                        <w:sz w:val="32"/>
                        <w:szCs w:val="32"/>
                      </w:rPr>
                    </w:pPr>
                    <w:r w:rsidRPr="00A12C22">
                      <w:rPr>
                        <w:rFonts w:ascii="Arial Narrow" w:hAnsi="Arial Narrow"/>
                        <w:color w:val="C00000"/>
                        <w:sz w:val="32"/>
                        <w:szCs w:val="32"/>
                      </w:rPr>
                      <w:t>GAC Secretariat</w:t>
                    </w: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697E" w14:textId="77777777" w:rsidR="00776376" w:rsidRDefault="00776376" w:rsidP="00C2562C">
    <w:pPr>
      <w:pStyle w:val="Header"/>
      <w:tabs>
        <w:tab w:val="clear" w:pos="9360"/>
      </w:tabs>
      <w:ind w:left="-851"/>
      <w:jc w:val="center"/>
    </w:pPr>
    <w:r>
      <w:rPr>
        <w:noProof/>
        <w:lang w:val="en-GB" w:eastAsia="en-GB"/>
      </w:rPr>
      <w:drawing>
        <wp:inline distT="0" distB="0" distL="0" distR="0" wp14:anchorId="1DC1CA3A" wp14:editId="2E77D994">
          <wp:extent cx="3049905" cy="789940"/>
          <wp:effectExtent l="19050" t="0" r="0" b="0"/>
          <wp:docPr id="2" name="Picture 2" descr="ACIG logo Lo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G logo Long transparent"/>
                  <pic:cNvPicPr>
                    <a:picLocks noChangeAspect="1" noChangeArrowheads="1"/>
                  </pic:cNvPicPr>
                </pic:nvPicPr>
                <pic:blipFill>
                  <a:blip r:embed="rId1"/>
                  <a:srcRect/>
                  <a:stretch>
                    <a:fillRect/>
                  </a:stretch>
                </pic:blipFill>
                <pic:spPr bwMode="auto">
                  <a:xfrm>
                    <a:off x="0" y="0"/>
                    <a:ext cx="3049905" cy="789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FE7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EA2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8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DE9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4F4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28C4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82D0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3EC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9E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741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6B0A"/>
    <w:multiLevelType w:val="hybridMultilevel"/>
    <w:tmpl w:val="359AD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E09C1"/>
    <w:multiLevelType w:val="hybridMultilevel"/>
    <w:tmpl w:val="E76A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92396"/>
    <w:multiLevelType w:val="multilevel"/>
    <w:tmpl w:val="F056D206"/>
    <w:lvl w:ilvl="0">
      <w:start w:val="1"/>
      <w:numFmt w:val="decimal"/>
      <w:lvlText w:val="%1."/>
      <w:lvlJc w:val="left"/>
      <w:pPr>
        <w:tabs>
          <w:tab w:val="num" w:pos="-600"/>
        </w:tabs>
        <w:ind w:left="-600" w:hanging="360"/>
      </w:pPr>
    </w:lvl>
    <w:lvl w:ilvl="1" w:tentative="1">
      <w:start w:val="1"/>
      <w:numFmt w:val="decimal"/>
      <w:lvlText w:val="%2."/>
      <w:lvlJc w:val="left"/>
      <w:pPr>
        <w:tabs>
          <w:tab w:val="num" w:pos="120"/>
        </w:tabs>
        <w:ind w:left="120" w:hanging="360"/>
      </w:pPr>
    </w:lvl>
    <w:lvl w:ilvl="2" w:tentative="1">
      <w:start w:val="1"/>
      <w:numFmt w:val="decimal"/>
      <w:lvlText w:val="%3."/>
      <w:lvlJc w:val="left"/>
      <w:pPr>
        <w:tabs>
          <w:tab w:val="num" w:pos="840"/>
        </w:tabs>
        <w:ind w:left="840" w:hanging="360"/>
      </w:pPr>
    </w:lvl>
    <w:lvl w:ilvl="3" w:tentative="1">
      <w:start w:val="1"/>
      <w:numFmt w:val="decimal"/>
      <w:lvlText w:val="%4."/>
      <w:lvlJc w:val="left"/>
      <w:pPr>
        <w:tabs>
          <w:tab w:val="num" w:pos="1560"/>
        </w:tabs>
        <w:ind w:left="1560" w:hanging="360"/>
      </w:pPr>
    </w:lvl>
    <w:lvl w:ilvl="4" w:tentative="1">
      <w:start w:val="1"/>
      <w:numFmt w:val="decimal"/>
      <w:lvlText w:val="%5."/>
      <w:lvlJc w:val="left"/>
      <w:pPr>
        <w:tabs>
          <w:tab w:val="num" w:pos="2280"/>
        </w:tabs>
        <w:ind w:left="2280" w:hanging="360"/>
      </w:pPr>
    </w:lvl>
    <w:lvl w:ilvl="5" w:tentative="1">
      <w:start w:val="1"/>
      <w:numFmt w:val="decimal"/>
      <w:lvlText w:val="%6."/>
      <w:lvlJc w:val="left"/>
      <w:pPr>
        <w:tabs>
          <w:tab w:val="num" w:pos="3000"/>
        </w:tabs>
        <w:ind w:left="3000" w:hanging="360"/>
      </w:pPr>
    </w:lvl>
    <w:lvl w:ilvl="6" w:tentative="1">
      <w:start w:val="1"/>
      <w:numFmt w:val="decimal"/>
      <w:lvlText w:val="%7."/>
      <w:lvlJc w:val="left"/>
      <w:pPr>
        <w:tabs>
          <w:tab w:val="num" w:pos="3720"/>
        </w:tabs>
        <w:ind w:left="3720" w:hanging="360"/>
      </w:pPr>
    </w:lvl>
    <w:lvl w:ilvl="7" w:tentative="1">
      <w:start w:val="1"/>
      <w:numFmt w:val="decimal"/>
      <w:lvlText w:val="%8."/>
      <w:lvlJc w:val="left"/>
      <w:pPr>
        <w:tabs>
          <w:tab w:val="num" w:pos="4440"/>
        </w:tabs>
        <w:ind w:left="4440" w:hanging="360"/>
      </w:pPr>
    </w:lvl>
    <w:lvl w:ilvl="8" w:tentative="1">
      <w:start w:val="1"/>
      <w:numFmt w:val="decimal"/>
      <w:lvlText w:val="%9."/>
      <w:lvlJc w:val="left"/>
      <w:pPr>
        <w:tabs>
          <w:tab w:val="num" w:pos="5160"/>
        </w:tabs>
        <w:ind w:left="5160" w:hanging="360"/>
      </w:pPr>
    </w:lvl>
  </w:abstractNum>
  <w:abstractNum w:abstractNumId="13" w15:restartNumberingAfterBreak="0">
    <w:nsid w:val="0A700F5E"/>
    <w:multiLevelType w:val="hybridMultilevel"/>
    <w:tmpl w:val="72A6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33AD2"/>
    <w:multiLevelType w:val="hybridMultilevel"/>
    <w:tmpl w:val="8C18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4D54EB"/>
    <w:multiLevelType w:val="hybridMultilevel"/>
    <w:tmpl w:val="2158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72868"/>
    <w:multiLevelType w:val="hybridMultilevel"/>
    <w:tmpl w:val="AA4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944F8"/>
    <w:multiLevelType w:val="hybridMultilevel"/>
    <w:tmpl w:val="75A4B69A"/>
    <w:lvl w:ilvl="0" w:tplc="2A78A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110C2"/>
    <w:multiLevelType w:val="hybridMultilevel"/>
    <w:tmpl w:val="0FF2209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523C5"/>
    <w:multiLevelType w:val="hybridMultilevel"/>
    <w:tmpl w:val="039E10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245BD"/>
    <w:multiLevelType w:val="hybridMultilevel"/>
    <w:tmpl w:val="3446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94643"/>
    <w:multiLevelType w:val="hybridMultilevel"/>
    <w:tmpl w:val="56C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271BD"/>
    <w:multiLevelType w:val="hybridMultilevel"/>
    <w:tmpl w:val="5B6467F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83D1D"/>
    <w:multiLevelType w:val="hybridMultilevel"/>
    <w:tmpl w:val="6E60C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4B3203"/>
    <w:multiLevelType w:val="hybridMultilevel"/>
    <w:tmpl w:val="9EF6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A7D23"/>
    <w:multiLevelType w:val="hybridMultilevel"/>
    <w:tmpl w:val="0F44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7F5318"/>
    <w:multiLevelType w:val="hybridMultilevel"/>
    <w:tmpl w:val="A88A34A0"/>
    <w:lvl w:ilvl="0" w:tplc="66068FF0">
      <w:start w:val="1"/>
      <w:numFmt w:val="bullet"/>
      <w:pStyle w:val="ListBullet2"/>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27" w15:restartNumberingAfterBreak="0">
    <w:nsid w:val="629C3AB7"/>
    <w:multiLevelType w:val="hybridMultilevel"/>
    <w:tmpl w:val="6AB64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DD5D1E"/>
    <w:multiLevelType w:val="hybridMultilevel"/>
    <w:tmpl w:val="29A86D82"/>
    <w:lvl w:ilvl="0" w:tplc="BA340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452E84"/>
    <w:multiLevelType w:val="hybridMultilevel"/>
    <w:tmpl w:val="BE56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25"/>
  </w:num>
  <w:num w:numId="14">
    <w:abstractNumId w:val="13"/>
  </w:num>
  <w:num w:numId="15">
    <w:abstractNumId w:val="19"/>
  </w:num>
  <w:num w:numId="16">
    <w:abstractNumId w:val="20"/>
  </w:num>
  <w:num w:numId="17">
    <w:abstractNumId w:val="10"/>
  </w:num>
  <w:num w:numId="18">
    <w:abstractNumId w:val="18"/>
  </w:num>
  <w:num w:numId="19">
    <w:abstractNumId w:val="23"/>
  </w:num>
  <w:num w:numId="20">
    <w:abstractNumId w:val="29"/>
  </w:num>
  <w:num w:numId="21">
    <w:abstractNumId w:val="24"/>
  </w:num>
  <w:num w:numId="22">
    <w:abstractNumId w:val="21"/>
  </w:num>
  <w:num w:numId="23">
    <w:abstractNumId w:val="12"/>
  </w:num>
  <w:num w:numId="24">
    <w:abstractNumId w:val="27"/>
  </w:num>
  <w:num w:numId="25">
    <w:abstractNumId w:val="17"/>
  </w:num>
  <w:num w:numId="26">
    <w:abstractNumId w:val="28"/>
  </w:num>
  <w:num w:numId="27">
    <w:abstractNumId w:val="22"/>
  </w:num>
  <w:num w:numId="28">
    <w:abstractNumId w:val="16"/>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0C"/>
    <w:rsid w:val="00001658"/>
    <w:rsid w:val="00017DDB"/>
    <w:rsid w:val="00023512"/>
    <w:rsid w:val="0002714F"/>
    <w:rsid w:val="000328A2"/>
    <w:rsid w:val="00036D48"/>
    <w:rsid w:val="00061B16"/>
    <w:rsid w:val="00083BC8"/>
    <w:rsid w:val="00085123"/>
    <w:rsid w:val="000964B7"/>
    <w:rsid w:val="000966BB"/>
    <w:rsid w:val="000B4BF2"/>
    <w:rsid w:val="000C0FD7"/>
    <w:rsid w:val="000C5167"/>
    <w:rsid w:val="000C6B2E"/>
    <w:rsid w:val="00114EBF"/>
    <w:rsid w:val="0012744C"/>
    <w:rsid w:val="00130A75"/>
    <w:rsid w:val="00137BBE"/>
    <w:rsid w:val="001577F4"/>
    <w:rsid w:val="0016195D"/>
    <w:rsid w:val="00192306"/>
    <w:rsid w:val="001B337F"/>
    <w:rsid w:val="0020769E"/>
    <w:rsid w:val="002110FA"/>
    <w:rsid w:val="002276FD"/>
    <w:rsid w:val="00227726"/>
    <w:rsid w:val="00241C6F"/>
    <w:rsid w:val="00250279"/>
    <w:rsid w:val="0025104A"/>
    <w:rsid w:val="00262ACB"/>
    <w:rsid w:val="00273354"/>
    <w:rsid w:val="002A3393"/>
    <w:rsid w:val="002B694A"/>
    <w:rsid w:val="002B77F7"/>
    <w:rsid w:val="002F7386"/>
    <w:rsid w:val="00302AA4"/>
    <w:rsid w:val="00327A1A"/>
    <w:rsid w:val="003308BB"/>
    <w:rsid w:val="003401B4"/>
    <w:rsid w:val="003501C8"/>
    <w:rsid w:val="003643C4"/>
    <w:rsid w:val="003644DC"/>
    <w:rsid w:val="00364F2E"/>
    <w:rsid w:val="003961C1"/>
    <w:rsid w:val="003A1AB7"/>
    <w:rsid w:val="003D7A8D"/>
    <w:rsid w:val="00400344"/>
    <w:rsid w:val="00406CEE"/>
    <w:rsid w:val="00412A64"/>
    <w:rsid w:val="00416093"/>
    <w:rsid w:val="004256A5"/>
    <w:rsid w:val="00454CBD"/>
    <w:rsid w:val="0046328D"/>
    <w:rsid w:val="004656DC"/>
    <w:rsid w:val="00477F27"/>
    <w:rsid w:val="00481300"/>
    <w:rsid w:val="00482610"/>
    <w:rsid w:val="004837E2"/>
    <w:rsid w:val="00492E56"/>
    <w:rsid w:val="00495CB5"/>
    <w:rsid w:val="004A58B8"/>
    <w:rsid w:val="004D747F"/>
    <w:rsid w:val="004E22C7"/>
    <w:rsid w:val="004E2498"/>
    <w:rsid w:val="004E28DA"/>
    <w:rsid w:val="0051347B"/>
    <w:rsid w:val="00546686"/>
    <w:rsid w:val="00577F86"/>
    <w:rsid w:val="00580A87"/>
    <w:rsid w:val="00583EE4"/>
    <w:rsid w:val="005B7B51"/>
    <w:rsid w:val="005E2917"/>
    <w:rsid w:val="006075B6"/>
    <w:rsid w:val="00624AEC"/>
    <w:rsid w:val="00652018"/>
    <w:rsid w:val="0066439B"/>
    <w:rsid w:val="00672691"/>
    <w:rsid w:val="006735F6"/>
    <w:rsid w:val="0067792E"/>
    <w:rsid w:val="00683C6C"/>
    <w:rsid w:val="006B4355"/>
    <w:rsid w:val="00700CF9"/>
    <w:rsid w:val="00722431"/>
    <w:rsid w:val="0072423D"/>
    <w:rsid w:val="00731C3E"/>
    <w:rsid w:val="00740F60"/>
    <w:rsid w:val="007670C2"/>
    <w:rsid w:val="00776376"/>
    <w:rsid w:val="007A174E"/>
    <w:rsid w:val="007D32B7"/>
    <w:rsid w:val="007E013D"/>
    <w:rsid w:val="007F5CD3"/>
    <w:rsid w:val="0080662D"/>
    <w:rsid w:val="00815A76"/>
    <w:rsid w:val="00817EAC"/>
    <w:rsid w:val="008246F4"/>
    <w:rsid w:val="00846BA1"/>
    <w:rsid w:val="00854588"/>
    <w:rsid w:val="008822A3"/>
    <w:rsid w:val="00882354"/>
    <w:rsid w:val="00896848"/>
    <w:rsid w:val="008A2A22"/>
    <w:rsid w:val="008B2849"/>
    <w:rsid w:val="008C4F95"/>
    <w:rsid w:val="009123B6"/>
    <w:rsid w:val="00921AAD"/>
    <w:rsid w:val="00921B8C"/>
    <w:rsid w:val="00962727"/>
    <w:rsid w:val="00974BD6"/>
    <w:rsid w:val="0099631A"/>
    <w:rsid w:val="009A63F4"/>
    <w:rsid w:val="009C77A8"/>
    <w:rsid w:val="00A07882"/>
    <w:rsid w:val="00A12C22"/>
    <w:rsid w:val="00A24449"/>
    <w:rsid w:val="00A25553"/>
    <w:rsid w:val="00A40DB0"/>
    <w:rsid w:val="00A55D0C"/>
    <w:rsid w:val="00A660EB"/>
    <w:rsid w:val="00A742DD"/>
    <w:rsid w:val="00A779C6"/>
    <w:rsid w:val="00A86B36"/>
    <w:rsid w:val="00AA0126"/>
    <w:rsid w:val="00AB2562"/>
    <w:rsid w:val="00AB26F7"/>
    <w:rsid w:val="00AC5490"/>
    <w:rsid w:val="00AC54BB"/>
    <w:rsid w:val="00AD1076"/>
    <w:rsid w:val="00AE6E3D"/>
    <w:rsid w:val="00AE6FD5"/>
    <w:rsid w:val="00B026C8"/>
    <w:rsid w:val="00B21330"/>
    <w:rsid w:val="00B22FE8"/>
    <w:rsid w:val="00B5489D"/>
    <w:rsid w:val="00B7292B"/>
    <w:rsid w:val="00B72D49"/>
    <w:rsid w:val="00BA0533"/>
    <w:rsid w:val="00BE3286"/>
    <w:rsid w:val="00BE60A1"/>
    <w:rsid w:val="00BF4CFB"/>
    <w:rsid w:val="00C020C1"/>
    <w:rsid w:val="00C114D4"/>
    <w:rsid w:val="00C144AE"/>
    <w:rsid w:val="00C21952"/>
    <w:rsid w:val="00C2562C"/>
    <w:rsid w:val="00C26F6D"/>
    <w:rsid w:val="00C3454E"/>
    <w:rsid w:val="00C50C2C"/>
    <w:rsid w:val="00C74517"/>
    <w:rsid w:val="00C87641"/>
    <w:rsid w:val="00C9701E"/>
    <w:rsid w:val="00CC79EF"/>
    <w:rsid w:val="00CD30A8"/>
    <w:rsid w:val="00CD57F8"/>
    <w:rsid w:val="00CF0606"/>
    <w:rsid w:val="00CF4236"/>
    <w:rsid w:val="00CF4E9A"/>
    <w:rsid w:val="00D01CBD"/>
    <w:rsid w:val="00D049CB"/>
    <w:rsid w:val="00D07C27"/>
    <w:rsid w:val="00D17FF3"/>
    <w:rsid w:val="00D35147"/>
    <w:rsid w:val="00D41280"/>
    <w:rsid w:val="00D5733E"/>
    <w:rsid w:val="00D57B30"/>
    <w:rsid w:val="00D86EA8"/>
    <w:rsid w:val="00D9442D"/>
    <w:rsid w:val="00DA436F"/>
    <w:rsid w:val="00DA46B6"/>
    <w:rsid w:val="00DB2F1E"/>
    <w:rsid w:val="00DD2C34"/>
    <w:rsid w:val="00DE1B66"/>
    <w:rsid w:val="00DE621B"/>
    <w:rsid w:val="00DF0C5D"/>
    <w:rsid w:val="00DF27CF"/>
    <w:rsid w:val="00DF5B00"/>
    <w:rsid w:val="00E016F8"/>
    <w:rsid w:val="00E15459"/>
    <w:rsid w:val="00E236BC"/>
    <w:rsid w:val="00E248DA"/>
    <w:rsid w:val="00E3060B"/>
    <w:rsid w:val="00E42E83"/>
    <w:rsid w:val="00E42F1B"/>
    <w:rsid w:val="00E57BDD"/>
    <w:rsid w:val="00E7196B"/>
    <w:rsid w:val="00E82F0C"/>
    <w:rsid w:val="00E9134A"/>
    <w:rsid w:val="00E954EC"/>
    <w:rsid w:val="00EA3A02"/>
    <w:rsid w:val="00EC3C37"/>
    <w:rsid w:val="00EE2665"/>
    <w:rsid w:val="00EF36F3"/>
    <w:rsid w:val="00F21D6A"/>
    <w:rsid w:val="00F42A85"/>
    <w:rsid w:val="00F4462E"/>
    <w:rsid w:val="00F46F4F"/>
    <w:rsid w:val="00F8151B"/>
    <w:rsid w:val="00F96D2C"/>
    <w:rsid w:val="00FC79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BF6DA"/>
  <w15:docId w15:val="{AA5FD52E-6677-4A99-BD22-E4DEE431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alibri" w:hAnsi="Century Gothic"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CEE"/>
    <w:rPr>
      <w:rFonts w:ascii="Calibri" w:eastAsia="Times New Roman" w:hAnsi="Calibri"/>
      <w:sz w:val="24"/>
      <w:szCs w:val="24"/>
      <w:lang w:val="en-US" w:eastAsia="en-US"/>
    </w:rPr>
  </w:style>
  <w:style w:type="paragraph" w:styleId="Heading1">
    <w:name w:val="heading 1"/>
    <w:next w:val="BodyText"/>
    <w:link w:val="Heading1Char"/>
    <w:uiPriority w:val="9"/>
    <w:qFormat/>
    <w:rsid w:val="00CF4E9A"/>
    <w:pPr>
      <w:keepNext/>
      <w:keepLines/>
      <w:pageBreakBefore/>
      <w:pBdr>
        <w:top w:val="single" w:sz="4" w:space="1" w:color="00408E"/>
        <w:bottom w:val="single" w:sz="4" w:space="1" w:color="00408E"/>
      </w:pBdr>
      <w:spacing w:after="200" w:line="276" w:lineRule="auto"/>
      <w:outlineLvl w:val="0"/>
    </w:pPr>
    <w:rPr>
      <w:b/>
      <w:color w:val="00408E"/>
      <w:sz w:val="28"/>
      <w:szCs w:val="28"/>
      <w:lang w:eastAsia="en-US"/>
    </w:rPr>
  </w:style>
  <w:style w:type="paragraph" w:styleId="Heading2">
    <w:name w:val="heading 2"/>
    <w:basedOn w:val="BodyText"/>
    <w:next w:val="BodyText"/>
    <w:link w:val="Heading2Char"/>
    <w:autoRedefine/>
    <w:uiPriority w:val="9"/>
    <w:unhideWhenUsed/>
    <w:qFormat/>
    <w:rsid w:val="00E15459"/>
    <w:pPr>
      <w:keepNext/>
      <w:keepLines/>
      <w:ind w:right="545"/>
      <w:outlineLvl w:val="1"/>
    </w:pPr>
    <w:rPr>
      <w:b/>
      <w:color w:val="1F4E79" w:themeColor="accent1" w:themeShade="80"/>
      <w:sz w:val="24"/>
      <w:szCs w:val="24"/>
    </w:rPr>
  </w:style>
  <w:style w:type="paragraph" w:styleId="Heading3">
    <w:name w:val="heading 3"/>
    <w:basedOn w:val="BodyText"/>
    <w:next w:val="BodyText"/>
    <w:link w:val="Heading3Char"/>
    <w:uiPriority w:val="9"/>
    <w:unhideWhenUsed/>
    <w:qFormat/>
    <w:rsid w:val="00CF4E9A"/>
    <w:pPr>
      <w:keepNext/>
      <w:keepLines/>
      <w:jc w:val="left"/>
      <w:outlineLvl w:val="2"/>
    </w:pPr>
    <w:rPr>
      <w:b/>
      <w:color w:val="00408E"/>
    </w:rPr>
  </w:style>
  <w:style w:type="paragraph" w:styleId="Heading4">
    <w:name w:val="heading 4"/>
    <w:basedOn w:val="BodyText"/>
    <w:next w:val="BodyText"/>
    <w:link w:val="Heading4Char"/>
    <w:uiPriority w:val="9"/>
    <w:unhideWhenUsed/>
    <w:qFormat/>
    <w:rsid w:val="004E22C7"/>
    <w:pPr>
      <w:keepNext/>
      <w:keepLines/>
      <w:jc w:val="left"/>
      <w:outlineLvl w:val="3"/>
    </w:pPr>
    <w:rPr>
      <w:color w:val="00408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5459"/>
    <w:rPr>
      <w:b/>
      <w:color w:val="1F4E79" w:themeColor="accent1" w:themeShade="80"/>
      <w:sz w:val="24"/>
      <w:szCs w:val="24"/>
      <w:lang w:eastAsia="en-US"/>
    </w:rPr>
  </w:style>
  <w:style w:type="paragraph" w:styleId="TOC1">
    <w:name w:val="toc 1"/>
    <w:basedOn w:val="Normal"/>
    <w:next w:val="Normal"/>
    <w:uiPriority w:val="39"/>
    <w:rsid w:val="009123B6"/>
    <w:pPr>
      <w:widowControl w:val="0"/>
      <w:tabs>
        <w:tab w:val="left" w:leader="dot" w:pos="7938"/>
      </w:tabs>
      <w:suppressAutoHyphens/>
      <w:spacing w:before="240" w:after="300"/>
      <w:ind w:left="1134" w:hanging="567"/>
      <w:jc w:val="both"/>
    </w:pPr>
    <w:rPr>
      <w:rFonts w:ascii="Century Gothic" w:hAnsi="Century Gothic"/>
      <w:b/>
      <w:bCs/>
      <w:sz w:val="28"/>
    </w:rPr>
  </w:style>
  <w:style w:type="paragraph" w:styleId="Header">
    <w:name w:val="header"/>
    <w:basedOn w:val="BodyText"/>
    <w:link w:val="HeaderChar"/>
    <w:uiPriority w:val="99"/>
    <w:unhideWhenUsed/>
    <w:rsid w:val="00A24449"/>
    <w:pPr>
      <w:tabs>
        <w:tab w:val="center" w:pos="4680"/>
        <w:tab w:val="right" w:pos="9360"/>
      </w:tabs>
    </w:pPr>
  </w:style>
  <w:style w:type="character" w:customStyle="1" w:styleId="HeaderChar">
    <w:name w:val="Header Char"/>
    <w:basedOn w:val="DefaultParagraphFont"/>
    <w:link w:val="Header"/>
    <w:uiPriority w:val="99"/>
    <w:rsid w:val="00AD1076"/>
    <w:rPr>
      <w:rFonts w:ascii="Century Gothic" w:hAnsi="Century Gothic"/>
      <w:szCs w:val="22"/>
      <w:lang w:val="en-AU"/>
    </w:rPr>
  </w:style>
  <w:style w:type="paragraph" w:styleId="Footer">
    <w:name w:val="footer"/>
    <w:basedOn w:val="Normal"/>
    <w:link w:val="FooterChar"/>
    <w:uiPriority w:val="99"/>
    <w:unhideWhenUsed/>
    <w:rsid w:val="00A24449"/>
    <w:pPr>
      <w:tabs>
        <w:tab w:val="center" w:pos="4680"/>
        <w:tab w:val="right" w:pos="9360"/>
      </w:tabs>
      <w:spacing w:after="200" w:line="276" w:lineRule="auto"/>
      <w:jc w:val="both"/>
    </w:pPr>
    <w:rPr>
      <w:rFonts w:ascii="Century Gothic" w:eastAsia="Calibri" w:hAnsi="Century Gothic"/>
      <w:sz w:val="20"/>
      <w:szCs w:val="22"/>
    </w:rPr>
  </w:style>
  <w:style w:type="character" w:customStyle="1" w:styleId="FooterChar">
    <w:name w:val="Footer Char"/>
    <w:basedOn w:val="DefaultParagraphFont"/>
    <w:link w:val="Footer"/>
    <w:uiPriority w:val="99"/>
    <w:rsid w:val="00A24449"/>
    <w:rPr>
      <w:rFonts w:ascii="Century Gothic" w:hAnsi="Century Gothic"/>
      <w:szCs w:val="22"/>
      <w:lang w:val="en-AU"/>
    </w:rPr>
  </w:style>
  <w:style w:type="character" w:customStyle="1" w:styleId="Heading1Char">
    <w:name w:val="Heading 1 Char"/>
    <w:basedOn w:val="DefaultParagraphFont"/>
    <w:link w:val="Heading1"/>
    <w:uiPriority w:val="9"/>
    <w:rsid w:val="00CF4E9A"/>
    <w:rPr>
      <w:b/>
      <w:color w:val="00408E"/>
      <w:sz w:val="28"/>
      <w:szCs w:val="28"/>
      <w:lang w:val="en-AU" w:eastAsia="en-US" w:bidi="ar-SA"/>
    </w:rPr>
  </w:style>
  <w:style w:type="paragraph" w:styleId="Title">
    <w:name w:val="Title"/>
    <w:basedOn w:val="BodyText"/>
    <w:next w:val="BodyText"/>
    <w:link w:val="TitleChar"/>
    <w:autoRedefine/>
    <w:uiPriority w:val="10"/>
    <w:qFormat/>
    <w:rsid w:val="00A86B36"/>
    <w:pPr>
      <w:spacing w:before="240" w:after="60"/>
      <w:jc w:val="center"/>
      <w:outlineLvl w:val="0"/>
    </w:pPr>
    <w:rPr>
      <w:rFonts w:eastAsia="Times New Roman"/>
      <w:b/>
      <w:bCs/>
      <w:color w:val="00408E"/>
      <w:kern w:val="28"/>
      <w:sz w:val="48"/>
      <w:szCs w:val="48"/>
    </w:rPr>
  </w:style>
  <w:style w:type="paragraph" w:styleId="BodyText">
    <w:name w:val="Body Text"/>
    <w:link w:val="BodyTextChar"/>
    <w:uiPriority w:val="99"/>
    <w:unhideWhenUsed/>
    <w:qFormat/>
    <w:rsid w:val="004E22C7"/>
    <w:pPr>
      <w:spacing w:after="200" w:line="276" w:lineRule="auto"/>
      <w:jc w:val="both"/>
    </w:pPr>
    <w:rPr>
      <w:szCs w:val="22"/>
      <w:lang w:eastAsia="en-US"/>
    </w:rPr>
  </w:style>
  <w:style w:type="character" w:customStyle="1" w:styleId="BodyTextChar">
    <w:name w:val="Body Text Char"/>
    <w:basedOn w:val="DefaultParagraphFont"/>
    <w:link w:val="BodyText"/>
    <w:uiPriority w:val="99"/>
    <w:rsid w:val="004E22C7"/>
    <w:rPr>
      <w:szCs w:val="22"/>
      <w:lang w:val="en-AU" w:eastAsia="en-US" w:bidi="ar-SA"/>
    </w:rPr>
  </w:style>
  <w:style w:type="character" w:customStyle="1" w:styleId="TitleChar">
    <w:name w:val="Title Char"/>
    <w:basedOn w:val="DefaultParagraphFont"/>
    <w:link w:val="Title"/>
    <w:uiPriority w:val="10"/>
    <w:rsid w:val="00A86B36"/>
    <w:rPr>
      <w:rFonts w:eastAsia="Times New Roman"/>
      <w:b/>
      <w:bCs/>
      <w:color w:val="00408E"/>
      <w:kern w:val="28"/>
      <w:sz w:val="48"/>
      <w:szCs w:val="48"/>
      <w:lang w:val="en-AU"/>
    </w:rPr>
  </w:style>
  <w:style w:type="character" w:styleId="Hyperlink">
    <w:name w:val="Hyperlink"/>
    <w:basedOn w:val="DefaultParagraphFont"/>
    <w:uiPriority w:val="99"/>
    <w:unhideWhenUsed/>
    <w:rsid w:val="0072423D"/>
    <w:rPr>
      <w:color w:val="0000FF"/>
      <w:u w:val="single"/>
    </w:rPr>
  </w:style>
  <w:style w:type="character" w:customStyle="1" w:styleId="Heading3Char">
    <w:name w:val="Heading 3 Char"/>
    <w:basedOn w:val="DefaultParagraphFont"/>
    <w:link w:val="Heading3"/>
    <w:uiPriority w:val="9"/>
    <w:rsid w:val="00CF4E9A"/>
    <w:rPr>
      <w:b/>
      <w:color w:val="00408E"/>
      <w:szCs w:val="22"/>
      <w:lang w:val="en-AU"/>
    </w:rPr>
  </w:style>
  <w:style w:type="character" w:customStyle="1" w:styleId="Heading4Char">
    <w:name w:val="Heading 4 Char"/>
    <w:basedOn w:val="DefaultParagraphFont"/>
    <w:link w:val="Heading4"/>
    <w:uiPriority w:val="9"/>
    <w:rsid w:val="004E22C7"/>
    <w:rPr>
      <w:color w:val="00408E"/>
      <w:szCs w:val="22"/>
      <w:lang w:val="en-AU"/>
    </w:rPr>
  </w:style>
  <w:style w:type="paragraph" w:styleId="ListBullet">
    <w:name w:val="List Bullet"/>
    <w:basedOn w:val="ListBullet5"/>
    <w:uiPriority w:val="99"/>
    <w:unhideWhenUsed/>
    <w:qFormat/>
    <w:rsid w:val="004837E2"/>
    <w:pPr>
      <w:tabs>
        <w:tab w:val="num" w:pos="644"/>
      </w:tabs>
      <w:ind w:left="641" w:hanging="357"/>
      <w:contextualSpacing w:val="0"/>
    </w:pPr>
  </w:style>
  <w:style w:type="paragraph" w:styleId="ListBullet2">
    <w:name w:val="List Bullet 2"/>
    <w:basedOn w:val="ListBullet"/>
    <w:uiPriority w:val="99"/>
    <w:unhideWhenUsed/>
    <w:rsid w:val="008C4F95"/>
    <w:pPr>
      <w:numPr>
        <w:numId w:val="12"/>
      </w:numPr>
      <w:tabs>
        <w:tab w:val="num" w:pos="1492"/>
      </w:tabs>
      <w:ind w:left="993"/>
    </w:pPr>
  </w:style>
  <w:style w:type="paragraph" w:styleId="ListContinue">
    <w:name w:val="List Continue"/>
    <w:basedOn w:val="Normal"/>
    <w:uiPriority w:val="99"/>
    <w:unhideWhenUsed/>
    <w:rsid w:val="003961C1"/>
    <w:pPr>
      <w:spacing w:line="276" w:lineRule="auto"/>
      <w:ind w:left="283"/>
      <w:contextualSpacing/>
      <w:jc w:val="both"/>
    </w:pPr>
    <w:rPr>
      <w:rFonts w:ascii="Century Gothic" w:eastAsia="Calibri" w:hAnsi="Century Gothic"/>
      <w:sz w:val="20"/>
      <w:szCs w:val="22"/>
    </w:rPr>
  </w:style>
  <w:style w:type="paragraph" w:styleId="ListBullet3">
    <w:name w:val="List Bullet 3"/>
    <w:basedOn w:val="Normal"/>
    <w:uiPriority w:val="99"/>
    <w:unhideWhenUsed/>
    <w:rsid w:val="003961C1"/>
    <w:pPr>
      <w:numPr>
        <w:numId w:val="3"/>
      </w:numPr>
      <w:spacing w:after="200" w:line="276" w:lineRule="auto"/>
      <w:contextualSpacing/>
      <w:jc w:val="both"/>
    </w:pPr>
    <w:rPr>
      <w:rFonts w:ascii="Century Gothic" w:eastAsia="Calibri" w:hAnsi="Century Gothic"/>
      <w:sz w:val="20"/>
      <w:szCs w:val="22"/>
    </w:rPr>
  </w:style>
  <w:style w:type="paragraph" w:styleId="ListBullet4">
    <w:name w:val="List Bullet 4"/>
    <w:basedOn w:val="Normal"/>
    <w:uiPriority w:val="99"/>
    <w:unhideWhenUsed/>
    <w:rsid w:val="003961C1"/>
    <w:pPr>
      <w:numPr>
        <w:numId w:val="4"/>
      </w:numPr>
      <w:spacing w:after="200" w:line="276" w:lineRule="auto"/>
      <w:contextualSpacing/>
      <w:jc w:val="both"/>
    </w:pPr>
    <w:rPr>
      <w:rFonts w:ascii="Century Gothic" w:eastAsia="Calibri" w:hAnsi="Century Gothic"/>
      <w:sz w:val="20"/>
      <w:szCs w:val="22"/>
    </w:rPr>
  </w:style>
  <w:style w:type="paragraph" w:styleId="ListBullet5">
    <w:name w:val="List Bullet 5"/>
    <w:basedOn w:val="Normal"/>
    <w:uiPriority w:val="99"/>
    <w:unhideWhenUsed/>
    <w:rsid w:val="003961C1"/>
    <w:pPr>
      <w:numPr>
        <w:numId w:val="5"/>
      </w:numPr>
      <w:spacing w:after="200" w:line="276" w:lineRule="auto"/>
      <w:contextualSpacing/>
      <w:jc w:val="both"/>
    </w:pPr>
    <w:rPr>
      <w:rFonts w:ascii="Century Gothic" w:eastAsia="Calibri" w:hAnsi="Century Gothic"/>
      <w:sz w:val="20"/>
      <w:szCs w:val="22"/>
    </w:rPr>
  </w:style>
  <w:style w:type="paragraph" w:styleId="ListParagraph">
    <w:name w:val="List Paragraph"/>
    <w:basedOn w:val="Normal"/>
    <w:uiPriority w:val="34"/>
    <w:qFormat/>
    <w:rsid w:val="00C26F6D"/>
    <w:pPr>
      <w:spacing w:after="200" w:line="276" w:lineRule="auto"/>
      <w:ind w:left="720"/>
      <w:jc w:val="both"/>
    </w:pPr>
    <w:rPr>
      <w:rFonts w:ascii="Century Gothic" w:eastAsia="Calibri" w:hAnsi="Century Gothic"/>
      <w:sz w:val="20"/>
      <w:szCs w:val="22"/>
    </w:rPr>
  </w:style>
  <w:style w:type="paragraph" w:styleId="TOAHeading">
    <w:name w:val="toa heading"/>
    <w:basedOn w:val="Heading1"/>
    <w:next w:val="Normal"/>
    <w:uiPriority w:val="99"/>
    <w:unhideWhenUsed/>
    <w:rsid w:val="000C5167"/>
    <w:pPr>
      <w:spacing w:after="400"/>
    </w:pPr>
  </w:style>
  <w:style w:type="table" w:styleId="TableGrid">
    <w:name w:val="Table Grid"/>
    <w:basedOn w:val="TableNormal"/>
    <w:uiPriority w:val="59"/>
    <w:rsid w:val="003643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017DD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017DD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017DD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17DD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basedOn w:val="TableNormal"/>
    <w:uiPriority w:val="61"/>
    <w:rsid w:val="00017D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
    <w:name w:val="Table text"/>
    <w:basedOn w:val="Normal"/>
    <w:rsid w:val="003401B4"/>
    <w:pPr>
      <w:spacing w:before="60" w:after="60"/>
      <w:ind w:left="28" w:right="28"/>
    </w:pPr>
    <w:rPr>
      <w:rFonts w:ascii="Century Gothic" w:hAnsi="Century Gothic"/>
      <w:sz w:val="18"/>
    </w:rPr>
  </w:style>
  <w:style w:type="paragraph" w:styleId="NoSpacing">
    <w:name w:val="No Spacing"/>
    <w:uiPriority w:val="1"/>
    <w:qFormat/>
    <w:rsid w:val="00C2562C"/>
    <w:pPr>
      <w:jc w:val="both"/>
    </w:pPr>
    <w:rPr>
      <w:szCs w:val="22"/>
      <w:lang w:eastAsia="en-US"/>
    </w:rPr>
  </w:style>
  <w:style w:type="paragraph" w:styleId="FootnoteText">
    <w:name w:val="footnote text"/>
    <w:basedOn w:val="Normal"/>
    <w:link w:val="FootnoteTextChar"/>
    <w:uiPriority w:val="99"/>
    <w:unhideWhenUsed/>
    <w:rsid w:val="00406CEE"/>
  </w:style>
  <w:style w:type="character" w:customStyle="1" w:styleId="FootnoteTextChar">
    <w:name w:val="Footnote Text Char"/>
    <w:basedOn w:val="DefaultParagraphFont"/>
    <w:link w:val="FootnoteText"/>
    <w:uiPriority w:val="99"/>
    <w:rsid w:val="00406CEE"/>
    <w:rPr>
      <w:rFonts w:ascii="Calibri" w:eastAsia="Times New Roman" w:hAnsi="Calibri" w:cs="Times New Roman"/>
      <w:sz w:val="24"/>
      <w:szCs w:val="24"/>
    </w:rPr>
  </w:style>
  <w:style w:type="character" w:styleId="FootnoteReference">
    <w:name w:val="footnote reference"/>
    <w:basedOn w:val="DefaultParagraphFont"/>
    <w:uiPriority w:val="99"/>
    <w:unhideWhenUsed/>
    <w:rsid w:val="00406CEE"/>
    <w:rPr>
      <w:vertAlign w:val="superscript"/>
    </w:rPr>
  </w:style>
  <w:style w:type="paragraph" w:styleId="BalloonText">
    <w:name w:val="Balloon Text"/>
    <w:basedOn w:val="Normal"/>
    <w:link w:val="BalloonTextChar"/>
    <w:uiPriority w:val="99"/>
    <w:semiHidden/>
    <w:unhideWhenUsed/>
    <w:rsid w:val="00406CEE"/>
    <w:rPr>
      <w:rFonts w:ascii="Tahoma" w:hAnsi="Tahoma" w:cs="Tahoma"/>
      <w:sz w:val="16"/>
      <w:szCs w:val="16"/>
    </w:rPr>
  </w:style>
  <w:style w:type="character" w:customStyle="1" w:styleId="BalloonTextChar">
    <w:name w:val="Balloon Text Char"/>
    <w:basedOn w:val="DefaultParagraphFont"/>
    <w:link w:val="BalloonText"/>
    <w:uiPriority w:val="99"/>
    <w:semiHidden/>
    <w:rsid w:val="00406CEE"/>
    <w:rPr>
      <w:rFonts w:ascii="Tahoma" w:eastAsia="Times New Roman" w:hAnsi="Tahoma" w:cs="Tahoma"/>
      <w:sz w:val="16"/>
      <w:szCs w:val="16"/>
    </w:rPr>
  </w:style>
  <w:style w:type="character" w:styleId="UnresolvedMention">
    <w:name w:val="Unresolved Mention"/>
    <w:basedOn w:val="DefaultParagraphFont"/>
    <w:uiPriority w:val="99"/>
    <w:rsid w:val="00302A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52756">
      <w:bodyDiv w:val="1"/>
      <w:marLeft w:val="0"/>
      <w:marRight w:val="0"/>
      <w:marTop w:val="0"/>
      <w:marBottom w:val="0"/>
      <w:divBdr>
        <w:top w:val="none" w:sz="0" w:space="0" w:color="auto"/>
        <w:left w:val="none" w:sz="0" w:space="0" w:color="auto"/>
        <w:bottom w:val="none" w:sz="0" w:space="0" w:color="auto"/>
        <w:right w:val="none" w:sz="0" w:space="0" w:color="auto"/>
      </w:divBdr>
    </w:div>
    <w:div w:id="1442535300">
      <w:bodyDiv w:val="1"/>
      <w:marLeft w:val="0"/>
      <w:marRight w:val="0"/>
      <w:marTop w:val="0"/>
      <w:marBottom w:val="0"/>
      <w:divBdr>
        <w:top w:val="none" w:sz="0" w:space="0" w:color="auto"/>
        <w:left w:val="none" w:sz="0" w:space="0" w:color="auto"/>
        <w:bottom w:val="none" w:sz="0" w:space="0" w:color="auto"/>
        <w:right w:val="none" w:sz="0" w:space="0" w:color="auto"/>
      </w:divBdr>
    </w:div>
    <w:div w:id="1912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c.icann.org/contentMigrated/icann61-gac-communique" TargetMode="External"/><Relationship Id="rId13" Type="http://schemas.openxmlformats.org/officeDocument/2006/relationships/hyperlink" Target="https://gac.icann.org/activity/whois-compliance-with-gdpr-referenc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nso.icann.org/sites/default/files/file/field-file-attach/annex-4-epdp-manual-30jan18-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nn.org/resources/pages/gtld-registration-data-specs-en/" TargetMode="External"/><Relationship Id="rId5" Type="http://schemas.openxmlformats.org/officeDocument/2006/relationships/webSettings" Target="webSettings.xml"/><Relationship Id="rId15" Type="http://schemas.openxmlformats.org/officeDocument/2006/relationships/hyperlink" Target="https://62.schedule.icann.org/" TargetMode="External"/><Relationship Id="rId10" Type="http://schemas.openxmlformats.org/officeDocument/2006/relationships/hyperlink" Target="https://gac.icann.org/activity/whois-compliance-with-gdpr-referen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cann.org/resources/board-material/resolutions-2018-05-17-en" TargetMode="External"/><Relationship Id="rId14" Type="http://schemas.openxmlformats.org/officeDocument/2006/relationships/hyperlink" Target="https://www.icann.org/dataprotection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2FFE-F6E9-6442-BFE2-C3C7A463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7601</CharactersWithSpaces>
  <SharedDoc>false</SharedDoc>
  <HLinks>
    <vt:vector size="12" baseType="variant">
      <vt:variant>
        <vt:i4>1048631</vt:i4>
      </vt:variant>
      <vt:variant>
        <vt:i4>8</vt:i4>
      </vt:variant>
      <vt:variant>
        <vt:i4>0</vt:i4>
      </vt:variant>
      <vt:variant>
        <vt:i4>5</vt:i4>
      </vt:variant>
      <vt:variant>
        <vt:lpwstr/>
      </vt:variant>
      <vt:variant>
        <vt:lpwstr>_Toc231267216</vt:lpwstr>
      </vt:variant>
      <vt:variant>
        <vt:i4>1048631</vt:i4>
      </vt:variant>
      <vt:variant>
        <vt:i4>2</vt:i4>
      </vt:variant>
      <vt:variant>
        <vt:i4>0</vt:i4>
      </vt:variant>
      <vt:variant>
        <vt:i4>5</vt:i4>
      </vt:variant>
      <vt:variant>
        <vt:lpwstr/>
      </vt:variant>
      <vt:variant>
        <vt:lpwstr>_Toc231267215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Client's Name and/or Logo</dc:subject>
  <dc:creator>Thomas Dale</dc:creator>
  <cp:lastModifiedBy>Julia Charvolen</cp:lastModifiedBy>
  <cp:revision>2</cp:revision>
  <cp:lastPrinted>2013-11-27T05:14:00Z</cp:lastPrinted>
  <dcterms:created xsi:type="dcterms:W3CDTF">2018-06-07T09:25:00Z</dcterms:created>
  <dcterms:modified xsi:type="dcterms:W3CDTF">2018-06-07T09:25:00Z</dcterms:modified>
</cp:coreProperties>
</file>